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1D80">
      <w:pPr>
        <w:pStyle w:val="13"/>
        <w:rPr>
          <w:color w:val="auto"/>
          <w:sz w:val="32"/>
          <w:szCs w:val="22"/>
        </w:rPr>
      </w:pPr>
      <w:r>
        <w:rPr>
          <w:color w:val="auto"/>
          <w:sz w:val="32"/>
          <w:szCs w:val="22"/>
        </w:rPr>
        <w:t>温州理工学院外国语学院</w:t>
      </w:r>
      <w:r>
        <w:rPr>
          <w:rFonts w:hint="eastAsia"/>
          <w:color w:val="auto"/>
          <w:sz w:val="32"/>
          <w:szCs w:val="22"/>
          <w:lang w:val="en-US" w:eastAsia="zh-CN"/>
        </w:rPr>
        <w:t>2026届</w:t>
      </w:r>
      <w:r>
        <w:rPr>
          <w:color w:val="auto"/>
          <w:sz w:val="32"/>
          <w:szCs w:val="22"/>
        </w:rPr>
        <w:t>毕业论文答辩规范</w:t>
      </w:r>
    </w:p>
    <w:p w14:paraId="2EBF6A42">
      <w:pPr>
        <w:pStyle w:val="13"/>
        <w:rPr>
          <w:color w:val="auto"/>
          <w:sz w:val="32"/>
          <w:szCs w:val="22"/>
        </w:rPr>
      </w:pPr>
    </w:p>
    <w:p w14:paraId="2973929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0" w:name="heading_0"/>
      <w:r>
        <w:rPr>
          <w:color w:val="auto"/>
          <w:sz w:val="24"/>
          <w:szCs w:val="24"/>
        </w:rPr>
        <w:t>总则</w:t>
      </w:r>
      <w:bookmarkEnd w:id="0"/>
    </w:p>
    <w:p w14:paraId="60651D96">
      <w:pPr>
        <w:pStyle w:val="11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为规范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本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院毕业论文答辩工作，保障答辩过程公平、公正、公开、有序，严格把控毕业论文质量，契合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英语、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英语（专升本）专业人才培养目标，落实学术诚信与思政教育要求，依据学校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《温州理工学院本科毕业设计（论文）管理办法》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，结合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本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院实际，制定本规范。本规范适用于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本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院所有应届本科毕业生（含专升本）毕业论文答辩工作，涵盖正式答辩、二次答辩及相关管理环节。</w:t>
      </w:r>
    </w:p>
    <w:p w14:paraId="1DB642B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/>
          <w:color w:val="auto"/>
          <w:sz w:val="24"/>
          <w:szCs w:val="24"/>
        </w:rPr>
      </w:pPr>
      <w:bookmarkStart w:id="1" w:name="heading_1"/>
      <w:r>
        <w:rPr>
          <w:color w:val="auto"/>
          <w:sz w:val="24"/>
          <w:szCs w:val="24"/>
        </w:rPr>
        <w:t>组织架构与职责</w:t>
      </w:r>
      <w:bookmarkEnd w:id="1"/>
    </w:p>
    <w:p w14:paraId="56A1D68C">
      <w:pPr>
        <w:pStyle w:val="3"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2" w:name="heading_2"/>
      <w:r>
        <w:rPr>
          <w:color w:val="auto"/>
          <w:sz w:val="24"/>
          <w:szCs w:val="24"/>
        </w:rPr>
        <w:t>组织架构</w:t>
      </w:r>
      <w:bookmarkEnd w:id="2"/>
    </w:p>
    <w:p w14:paraId="3F42E557">
      <w:pPr>
        <w:pStyle w:val="11"/>
        <w:numPr>
          <w:ilvl w:val="0"/>
          <w:numId w:val="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学院层面：成立毕业论文答辩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委员会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，由分管教学院长任组长，外语系主任、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英语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专业负责人及骨干教师组成，统筹答辩整体安排、争议裁决、质量管控及材料归档监督。</w:t>
      </w:r>
    </w:p>
    <w:p w14:paraId="75FB070C">
      <w:pPr>
        <w:pStyle w:val="11"/>
        <w:numPr>
          <w:ilvl w:val="0"/>
          <w:numId w:val="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专业教研室：组建若干答辩小组，每组3名教师，设组长1名；答辩组长须为副高及以上职称，成员为中级及以上职称或硕士及以上学历教师，具备扎实的专业能力和丰富的答辩评审经验。</w:t>
      </w:r>
    </w:p>
    <w:p w14:paraId="326E7043">
      <w:pPr>
        <w:pStyle w:val="11"/>
        <w:numPr>
          <w:ilvl w:val="0"/>
          <w:numId w:val="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指导教师：负责所指导学生毕业论文的前期审核、修改指导、答辩资格初审，跟踪落实答辩修改意见，全程把控学生论文质量。</w:t>
      </w:r>
    </w:p>
    <w:p w14:paraId="3855DAA2">
      <w:pPr>
        <w:pStyle w:val="11"/>
        <w:numPr>
          <w:ilvl w:val="0"/>
          <w:numId w:val="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评阅教师：交叉评阅教师由学院毕业设计（论文）工作领导小组委派，评阅教师应具备相应科研能力和学术水平。</w:t>
      </w:r>
    </w:p>
    <w:p w14:paraId="2ACE0931">
      <w:pPr>
        <w:pStyle w:val="11"/>
        <w:numPr>
          <w:ilvl w:val="0"/>
          <w:numId w:val="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答辩助理：协助答辩小组开展工作，负责接收学生提交的论文、答辩记录表等材料，配合记录答辩过程，整理归档相关资料。</w:t>
      </w:r>
    </w:p>
    <w:p w14:paraId="2BB3A224">
      <w:pPr>
        <w:pStyle w:val="3"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3" w:name="heading_3"/>
      <w:r>
        <w:rPr>
          <w:color w:val="auto"/>
          <w:sz w:val="24"/>
          <w:szCs w:val="24"/>
        </w:rPr>
        <w:t>核心职责</w:t>
      </w:r>
      <w:bookmarkEnd w:id="3"/>
    </w:p>
    <w:p w14:paraId="2ECABBC5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委员会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：制定答辩工作计划，确定答辩时间、地点及分组方案，监督答辩流程规范执行，裁决指导教师与答辩小组的意见分歧，审核答辩成绩及归档材料。</w:t>
      </w:r>
    </w:p>
    <w:p w14:paraId="30335840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答辩小组：严格按照本规范开展答辩评审，客观公正评分，提出明确的论文修改意见，填写答辩记录表，确定答辩结论，确保答辩质量。</w:t>
      </w:r>
    </w:p>
    <w:p w14:paraId="11AFE317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指导教师：指导学生完成论文修改，确认学生答辩资格，协助学生准备答辩相关材料，指导学生落实答辩修改意见，负责学生论文最终定稿审核及签字确认。</w:t>
      </w:r>
    </w:p>
    <w:p w14:paraId="3CC0C2E5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评阅教师：在详细阅读论文及前期材料的基础上，实事求是地填写评语和评阅成绩。评语不能模式化，不能太笼统简单，须反映学生毕业论文的实际水平和改进之处。</w:t>
      </w:r>
    </w:p>
    <w:p w14:paraId="551AC5E4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学生：严格遵守答辩纪律，按要求准备答辩材料，按时参加答辩，全程配合答辩小组工作，按规定时间完成论文修改与定稿提交。</w:t>
      </w:r>
    </w:p>
    <w:p w14:paraId="58ECF541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4" w:name="heading_4"/>
      <w:r>
        <w:rPr>
          <w:color w:val="auto"/>
          <w:sz w:val="24"/>
          <w:szCs w:val="24"/>
        </w:rPr>
        <w:t>答辩时间与地点</w:t>
      </w:r>
      <w:bookmarkEnd w:id="4"/>
    </w:p>
    <w:p w14:paraId="2A755060">
      <w:pPr>
        <w:pStyle w:val="3"/>
        <w:numPr>
          <w:ilvl w:val="0"/>
          <w:numId w:val="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5" w:name="heading_5"/>
      <w:r>
        <w:rPr>
          <w:color w:val="auto"/>
          <w:sz w:val="24"/>
          <w:szCs w:val="24"/>
        </w:rPr>
        <w:t>答辩时间</w:t>
      </w:r>
      <w:bookmarkEnd w:id="5"/>
    </w:p>
    <w:p w14:paraId="0400AD85">
      <w:pPr>
        <w:pStyle w:val="11"/>
        <w:numPr>
          <w:ilvl w:val="0"/>
          <w:numId w:val="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正式答辩：滨海校区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2026年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5月8日上午9:00开始，茶山校区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2026年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5月9日上午8:30开始；具体答辩顺序由各答辩小组提前公示。</w:t>
      </w:r>
    </w:p>
    <w:p w14:paraId="674D1AB5">
      <w:pPr>
        <w:pStyle w:val="11"/>
        <w:numPr>
          <w:ilvl w:val="0"/>
          <w:numId w:val="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学生到场要求：答辩当天，学生须提前20分钟到达指定答辩教室，完成PPT拷贝、材料提交等准备工作，迟到15分钟以上按弃辩处理，无故缺席取消答辩资格。</w:t>
      </w:r>
      <w:bookmarkStart w:id="24" w:name="_GoBack"/>
      <w:bookmarkEnd w:id="24"/>
    </w:p>
    <w:p w14:paraId="72693070">
      <w:pPr>
        <w:pStyle w:val="11"/>
        <w:numPr>
          <w:ilvl w:val="0"/>
          <w:numId w:val="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二次答辩：针对首次答辩不合格、论文需重大修改或因故缓答辩的学生，由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学院统一安排在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6月初进行二次答辩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，流程与正式答辩一致。</w:t>
      </w:r>
    </w:p>
    <w:p w14:paraId="2A860ACF">
      <w:pPr>
        <w:pStyle w:val="11"/>
        <w:numPr>
          <w:ilvl w:val="0"/>
          <w:numId w:val="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材料提交时间：答辩通过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学生须在答辩结束后2日内修改论文，5月20日前将修改后的最终稿上传至系统并经导师确认；指导教师须在5月30日前将全套签字存档材料交学院教学办公室。</w:t>
      </w:r>
    </w:p>
    <w:p w14:paraId="3016F0D4">
      <w:pPr>
        <w:pStyle w:val="3"/>
        <w:numPr>
          <w:ilvl w:val="0"/>
          <w:numId w:val="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6" w:name="heading_6"/>
      <w:r>
        <w:rPr>
          <w:color w:val="auto"/>
          <w:sz w:val="24"/>
          <w:szCs w:val="24"/>
        </w:rPr>
        <w:t>答辩地点</w:t>
      </w:r>
      <w:bookmarkEnd w:id="6"/>
    </w:p>
    <w:p w14:paraId="798664EB">
      <w:pPr>
        <w:pStyle w:val="11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由学院提前统筹安排，按专业、班级分组确定答辩教室，明确标识并公示；答辩教室需配备投影、录音设备，确保答辩顺利进行，全程录音存档备查。</w:t>
      </w:r>
    </w:p>
    <w:p w14:paraId="3F8B696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7" w:name="heading_7"/>
      <w:r>
        <w:rPr>
          <w:color w:val="auto"/>
          <w:sz w:val="24"/>
          <w:szCs w:val="24"/>
        </w:rPr>
        <w:t>答辩资格审查</w:t>
      </w:r>
      <w:bookmarkEnd w:id="7"/>
    </w:p>
    <w:p w14:paraId="6BE79D75">
      <w:pPr>
        <w:pStyle w:val="11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学生参加答辩须满足以下条件，由指导教师初审、学院复核，不符合条件者不得参加正式答辩：</w:t>
      </w:r>
    </w:p>
    <w:p w14:paraId="68AF4538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修完培养计划规定的全部课程，学分达标，无未解除的在校处分，无学术不端记录。</w:t>
      </w:r>
    </w:p>
    <w:p w14:paraId="5FBCEDE7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完成毕业论文全部撰写环节，包括开题报告、文献综述、初稿修改、中期检查等，过程性材料完整且签字齐全。</w:t>
      </w:r>
    </w:p>
    <w:p w14:paraId="29A17E8F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毕业论文查重率符合学校规定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文字复制比R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&lt;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30%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，无抄袭、代写、剽窃等学术不端行为；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英语、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英语（专升本）专业学生论文须为5000词以上英文论文，格式符合学院规范。</w:t>
      </w:r>
    </w:p>
    <w:p w14:paraId="37535E42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指导教师审核通过，签署同意答辩评语，确认论文达到答辩要求。</w:t>
      </w:r>
    </w:p>
    <w:p w14:paraId="7F9D568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8" w:name="heading_8"/>
      <w:r>
        <w:rPr>
          <w:color w:val="auto"/>
          <w:sz w:val="24"/>
          <w:szCs w:val="24"/>
        </w:rPr>
        <w:t>答辩准备要求</w:t>
      </w:r>
      <w:bookmarkEnd w:id="8"/>
    </w:p>
    <w:p w14:paraId="341D1C34">
      <w:pPr>
        <w:pStyle w:val="3"/>
        <w:numPr>
          <w:ilvl w:val="0"/>
          <w:numId w:val="8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9" w:name="heading_9"/>
      <w:r>
        <w:rPr>
          <w:color w:val="auto"/>
          <w:sz w:val="24"/>
          <w:szCs w:val="24"/>
        </w:rPr>
        <w:t>学生准备材料</w:t>
      </w:r>
      <w:bookmarkEnd w:id="9"/>
    </w:p>
    <w:p w14:paraId="786E635E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毕业论文定稿简装2份：1份上交答辩助理，1份自留备用；论文正文需黑白双面打印，无需签字。</w:t>
      </w:r>
    </w:p>
    <w:p w14:paraId="65F3AE01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PPT：需提前制作，采用学术风格，简洁清晰，字体不小于20号，页数不超过20页，避免花哨动画；内容需涵盖研究背景、文献综述、研究方法、核心发现、创新点、不足与展望等核心内容；自带U盘备份+云端备份，到场后及时拷贝至答辩教室桌面并调试。</w:t>
      </w:r>
    </w:p>
    <w:p w14:paraId="15B326F9">
      <w:pPr>
        <w:pStyle w:val="3"/>
        <w:numPr>
          <w:ilvl w:val="0"/>
          <w:numId w:val="8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0" w:name="heading_10"/>
      <w:r>
        <w:rPr>
          <w:color w:val="auto"/>
          <w:sz w:val="24"/>
          <w:szCs w:val="24"/>
        </w:rPr>
        <w:t>答辩小组准备工作</w:t>
      </w:r>
      <w:bookmarkEnd w:id="10"/>
    </w:p>
    <w:p w14:paraId="1C47D9E5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答辩前审核学生答辩资格及相关材料，熟悉学生论文内容，准备针对性提问。</w:t>
      </w:r>
    </w:p>
    <w:p w14:paraId="5717F61E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提前检查答辩教室设备（投影、录音、麦克风等），确保正常使用；准备答辩评分表、答辩记录表等相关表格。</w:t>
      </w:r>
    </w:p>
    <w:p w14:paraId="16CC7594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答辩组长明确答辩流程、评分标准及纪律要求，统一答辩评审尺度。</w:t>
      </w:r>
    </w:p>
    <w:p w14:paraId="2AB003F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1" w:name="heading_11"/>
      <w:r>
        <w:rPr>
          <w:color w:val="auto"/>
          <w:sz w:val="24"/>
          <w:szCs w:val="24"/>
        </w:rPr>
        <w:t>答辩流程规范</w:t>
      </w:r>
      <w:bookmarkEnd w:id="11"/>
    </w:p>
    <w:p w14:paraId="09D06D25">
      <w:pPr>
        <w:pStyle w:val="11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本院毕业论文答辩全程采用英文进行，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学生答辩时间应不少于15分钟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单场答辩严格遵循以下流程，确保规范有序、全程可追溯：</w:t>
      </w:r>
    </w:p>
    <w:p w14:paraId="78E765F2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开场说明：答辩组长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说明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答辩纪律、流程，明确学生陈述、提问作答的时长及相关要求。</w:t>
      </w:r>
    </w:p>
    <w:p w14:paraId="7E7AE753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学生陈述：学生用英文进行论文陈述，逻辑清晰、表达流利，重点阐述论文核心内容，包括研究背景、文献综述、研究方法、核心发现、创新点、不足与展望等，贴合专业研究方向。</w:t>
      </w:r>
    </w:p>
    <w:p w14:paraId="5AD9AC1C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提问与作答：答辩教师针对论文内容、专业理论、研究方法、论证逻辑、格式规范等提出3-5个专业问题，学生全程用英文即时作答，简明扼要、有理有据；答辩教师现场点评，提出明确、可操作的论文修改意见。</w:t>
      </w:r>
    </w:p>
    <w:p w14:paraId="6CC99673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评议与评分：学生退场后，答辩小组教师独立打分，按评分标准逐项评议，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答辩小组合议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确定答辩成绩及答辩结论（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通过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/不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通过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）。</w:t>
      </w:r>
    </w:p>
    <w:p w14:paraId="79378467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结果宣布与材料提交：答辩组长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答辩当天将论文答辩成绩录入论文平台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；答辩小组教师完善相关签字手续。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经学院答辩委员会复核成绩无误后，三天内公示答辩通过学生名单。</w:t>
      </w:r>
    </w:p>
    <w:p w14:paraId="008C7BE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2" w:name="heading_12"/>
      <w:r>
        <w:rPr>
          <w:color w:val="auto"/>
          <w:sz w:val="24"/>
          <w:szCs w:val="24"/>
        </w:rPr>
        <w:t>成绩评定规则</w:t>
      </w:r>
      <w:bookmarkEnd w:id="12"/>
    </w:p>
    <w:p w14:paraId="1B0926B6">
      <w:pPr>
        <w:pStyle w:val="3"/>
        <w:numPr>
          <w:ilvl w:val="0"/>
          <w:numId w:val="1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3" w:name="heading_13"/>
      <w:r>
        <w:rPr>
          <w:color w:val="auto"/>
          <w:sz w:val="24"/>
          <w:szCs w:val="24"/>
        </w:rPr>
        <w:t>成绩构成</w:t>
      </w:r>
      <w:bookmarkEnd w:id="13"/>
    </w:p>
    <w:p w14:paraId="1862FB03">
      <w:pPr>
        <w:pStyle w:val="11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毕业论文总成绩满分为100分，由三部分构成，权重如下：</w:t>
      </w:r>
    </w:p>
    <w:p w14:paraId="4E8115D4">
      <w:pPr>
        <w:pStyle w:val="11"/>
        <w:numPr>
          <w:ilvl w:val="0"/>
          <w:numId w:val="1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指导教师评分：占40%，主要考核学生学习态度、前期材料质量、文字表述规范、专业知识综合应用能力等。</w:t>
      </w:r>
    </w:p>
    <w:p w14:paraId="7DA72591">
      <w:pPr>
        <w:pStyle w:val="11"/>
        <w:numPr>
          <w:ilvl w:val="0"/>
          <w:numId w:val="1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评阅教师评分：占20%，主要考核学生前期材料完整性、论文格式规范度、理论基础扎实性、论文质量等。</w:t>
      </w:r>
    </w:p>
    <w:p w14:paraId="067855CE">
      <w:pPr>
        <w:pStyle w:val="11"/>
        <w:numPr>
          <w:ilvl w:val="0"/>
          <w:numId w:val="1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答辩小组评分：占40%，主要考核学生语言表达能力（英文）、专业基础掌握程度、应用能力、答辩应答表现等。</w:t>
      </w:r>
    </w:p>
    <w:p w14:paraId="55C830DB">
      <w:pPr>
        <w:pStyle w:val="3"/>
        <w:numPr>
          <w:ilvl w:val="0"/>
          <w:numId w:val="1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4" w:name="heading_14"/>
      <w:r>
        <w:rPr>
          <w:color w:val="auto"/>
          <w:sz w:val="24"/>
          <w:szCs w:val="24"/>
        </w:rPr>
        <w:t>评分要求</w:t>
      </w:r>
      <w:bookmarkEnd w:id="14"/>
    </w:p>
    <w:p w14:paraId="743083DD">
      <w:pPr>
        <w:pStyle w:val="11"/>
        <w:numPr>
          <w:ilvl w:val="0"/>
          <w:numId w:val="1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单项评分上限：指导教师、评阅教师、答辩小组的单项评分一般不超过95分。</w:t>
      </w:r>
    </w:p>
    <w:p w14:paraId="030AA28C">
      <w:pPr>
        <w:pStyle w:val="11"/>
        <w:numPr>
          <w:ilvl w:val="0"/>
          <w:numId w:val="1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成绩异常处理：若指导教师评分与答辩小组评分差值超过20分，提交学院答辩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委员会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集体讨论，确定最终成绩。</w:t>
      </w:r>
    </w:p>
    <w:p w14:paraId="2D5B8833">
      <w:pPr>
        <w:pStyle w:val="11"/>
        <w:numPr>
          <w:ilvl w:val="0"/>
          <w:numId w:val="1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等级比例控制：毕业论文成绩严格控制标准，优秀（90-100分）比例不超过20%，优秀与良好（80-89分）总比例控制在60%以内；答辩小组判定不通过的，学生最终成绩直接记为不及格。</w:t>
      </w:r>
    </w:p>
    <w:p w14:paraId="21FA1456">
      <w:pPr>
        <w:pStyle w:val="11"/>
        <w:numPr>
          <w:ilvl w:val="0"/>
          <w:numId w:val="1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成绩归档：无论答辩是否通过，指导教师、评阅教师、答辩小组的评分意见及相关记录均需完整填写，存入学生毕业论文档案。</w:t>
      </w:r>
    </w:p>
    <w:p w14:paraId="339AA5C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5" w:name="heading_15"/>
      <w:r>
        <w:rPr>
          <w:color w:val="auto"/>
          <w:sz w:val="24"/>
          <w:szCs w:val="24"/>
        </w:rPr>
        <w:t>答辩纪律与礼仪</w:t>
      </w:r>
      <w:bookmarkEnd w:id="15"/>
    </w:p>
    <w:p w14:paraId="07E4F610">
      <w:pPr>
        <w:pStyle w:val="3"/>
        <w:numPr>
          <w:ilvl w:val="0"/>
          <w:numId w:val="1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6" w:name="heading_16"/>
      <w:r>
        <w:rPr>
          <w:color w:val="auto"/>
          <w:sz w:val="24"/>
          <w:szCs w:val="24"/>
        </w:rPr>
        <w:t>纪律要求</w:t>
      </w:r>
      <w:bookmarkEnd w:id="16"/>
    </w:p>
    <w:p w14:paraId="14F95F8D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学术诚信：严禁学生抄袭、代写、作弊、替答，严禁伪造论文数据、文献信息，一经查实，取消答辩资格，成绩记零分并记入学生档案，按学术不端相关规定处理。</w:t>
      </w:r>
    </w:p>
    <w:p w14:paraId="42EF2008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考勤纪律：学生须按时到场，不得迟到、早退、无故缺席；确有特殊情况需提前向学院提交书面缓答辩申请，经批准后方可延期。</w:t>
      </w:r>
    </w:p>
    <w:p w14:paraId="39D707E7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评审纪律：答辩小组教师须客观公正、廉洁自律，严格按照评分标准评审，不得徇私舞弊；评议内容、评分结果需严格保密，不得私下透分或泄露评审细节。</w:t>
      </w:r>
    </w:p>
    <w:p w14:paraId="25B4B185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现场纪律：答辩期间，学生及旁听人员需关闭手机，保持安静，不得随意走动、交谈；答辩过程中，学生不得擅自离场，服从答辩小组安排，不无理争辩、不扰乱答辩秩序。</w:t>
      </w:r>
    </w:p>
    <w:p w14:paraId="044BCD75">
      <w:pPr>
        <w:pStyle w:val="3"/>
        <w:numPr>
          <w:ilvl w:val="0"/>
          <w:numId w:val="1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7" w:name="heading_17"/>
      <w:r>
        <w:rPr>
          <w:color w:val="auto"/>
          <w:sz w:val="24"/>
          <w:szCs w:val="24"/>
        </w:rPr>
        <w:t>礼仪要求</w:t>
      </w:r>
      <w:bookmarkEnd w:id="17"/>
    </w:p>
    <w:p w14:paraId="583E29E9">
      <w:pPr>
        <w:pStyle w:val="11"/>
        <w:numPr>
          <w:ilvl w:val="0"/>
          <w:numId w:val="1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着装规范：学生着装正式得体，仪容整洁、精神饱满，展现专业素养。</w:t>
      </w:r>
    </w:p>
    <w:p w14:paraId="565AAC12">
      <w:pPr>
        <w:pStyle w:val="11"/>
        <w:numPr>
          <w:ilvl w:val="0"/>
          <w:numId w:val="1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言行礼仪：学生进入答辩教室需鞠躬问好，答辩结束后致谢离场；与答辩教师交流时使用礼貌用语，尊重评委意见，体现学术礼仪与职业素养。</w:t>
      </w:r>
    </w:p>
    <w:p w14:paraId="49CAB7FE">
      <w:pPr>
        <w:pStyle w:val="11"/>
        <w:numPr>
          <w:ilvl w:val="0"/>
          <w:numId w:val="1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表达规范：英文陈述、作答时发音清晰、语调自然，避免口语化、口头禅，逻辑连贯、层次分明，善用逻辑连接词，展现良好的英文表达能力。</w:t>
      </w:r>
    </w:p>
    <w:p w14:paraId="1D86CF51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8" w:name="heading_18"/>
      <w:r>
        <w:rPr>
          <w:color w:val="auto"/>
          <w:sz w:val="24"/>
          <w:szCs w:val="24"/>
        </w:rPr>
        <w:t>二次答辩管理</w:t>
      </w:r>
      <w:bookmarkEnd w:id="18"/>
    </w:p>
    <w:p w14:paraId="289C5305">
      <w:pPr>
        <w:pStyle w:val="11"/>
        <w:numPr>
          <w:ilvl w:val="0"/>
          <w:numId w:val="1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适用对象：首次答辩不合格、论文需重大修改、因故缓答辩、查重复检仍不合格的学生。</w:t>
      </w:r>
    </w:p>
    <w:p w14:paraId="6B1A6F67">
      <w:pPr>
        <w:pStyle w:val="11"/>
        <w:numPr>
          <w:ilvl w:val="0"/>
          <w:numId w:val="1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修改要求：学生需根据答辩小组提出的修改意见，在1周内完成论文重大修改，提交修改说明、论文终稿及查重报告，经指导教师审核、学院复核合格后，方可参加二次答辩。</w:t>
      </w:r>
    </w:p>
    <w:p w14:paraId="133CD7B5">
      <w:pPr>
        <w:pStyle w:val="11"/>
        <w:numPr>
          <w:ilvl w:val="0"/>
          <w:numId w:val="1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答辩要求：二次答辩由学院统一组织，答辩流程、评分标准与正式答辩一致；二次答辩仍不合格者，按学校规定延期毕业，需重修毕业论文，次年重新参加答辩。</w:t>
      </w:r>
    </w:p>
    <w:p w14:paraId="0B6FF9A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19" w:name="heading_19"/>
      <w:r>
        <w:rPr>
          <w:color w:val="auto"/>
          <w:sz w:val="24"/>
          <w:szCs w:val="24"/>
        </w:rPr>
        <w:t>材料归档要求</w:t>
      </w:r>
      <w:bookmarkEnd w:id="19"/>
    </w:p>
    <w:p w14:paraId="03E8E5D6">
      <w:pPr>
        <w:pStyle w:val="3"/>
        <w:numPr>
          <w:ilvl w:val="0"/>
          <w:numId w:val="19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20" w:name="heading_20"/>
      <w:r>
        <w:rPr>
          <w:color w:val="auto"/>
          <w:sz w:val="24"/>
          <w:szCs w:val="24"/>
        </w:rPr>
        <w:t>归档材料清单</w:t>
      </w:r>
      <w:bookmarkEnd w:id="20"/>
    </w:p>
    <w:p w14:paraId="2A7C266A">
      <w:pPr>
        <w:pStyle w:val="11"/>
        <w:numPr>
          <w:ilvl w:val="0"/>
          <w:numId w:val="2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毕业论文终稿：英文纸质版1份（精装，指导教师签字），电子版1份（上传至学校系统）。</w:t>
      </w:r>
    </w:p>
    <w:p w14:paraId="000B6589">
      <w:pPr>
        <w:pStyle w:val="11"/>
        <w:numPr>
          <w:ilvl w:val="0"/>
          <w:numId w:val="2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过程性材料：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任务书、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开题报告、文献综述、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论文进展表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指导记录表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、指导教师评语、评阅表。</w:t>
      </w:r>
    </w:p>
    <w:p w14:paraId="21B5CE7D">
      <w:pPr>
        <w:pStyle w:val="11"/>
        <w:numPr>
          <w:ilvl w:val="0"/>
          <w:numId w:val="2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答辩材料：答辩PPT、答辩记录表、答辩评分表。</w:t>
      </w:r>
    </w:p>
    <w:p w14:paraId="44E1B5BA">
      <w:pPr>
        <w:pStyle w:val="11"/>
        <w:numPr>
          <w:ilvl w:val="0"/>
          <w:numId w:val="2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其他材料：学术不端检测报告、诚信承诺书、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版权声明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。</w:t>
      </w:r>
    </w:p>
    <w:p w14:paraId="60107B8C">
      <w:pPr>
        <w:pStyle w:val="3"/>
        <w:numPr>
          <w:ilvl w:val="0"/>
          <w:numId w:val="19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21" w:name="heading_21"/>
      <w:r>
        <w:rPr>
          <w:color w:val="auto"/>
          <w:sz w:val="24"/>
          <w:szCs w:val="24"/>
        </w:rPr>
        <w:t>归档规范</w:t>
      </w:r>
      <w:bookmarkEnd w:id="21"/>
    </w:p>
    <w:p w14:paraId="794E80D4">
      <w:pPr>
        <w:pStyle w:val="11"/>
        <w:numPr>
          <w:ilvl w:val="0"/>
          <w:numId w:val="2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书写要求：所有存档材料一律使用黑色水笔填写，字迹清晰、不得涂改，电子签名无效，必须手写签名。</w:t>
      </w:r>
    </w:p>
    <w:p w14:paraId="2A864927">
      <w:pPr>
        <w:pStyle w:val="11"/>
        <w:numPr>
          <w:ilvl w:val="0"/>
          <w:numId w:val="2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提交要求：指导教师需在5月30日前将所指导学生的全套存档材料（全部签字齐全）交学院教学办公室，不得逾期。</w:t>
      </w:r>
    </w:p>
    <w:p w14:paraId="180D230C">
      <w:pPr>
        <w:pStyle w:val="11"/>
        <w:numPr>
          <w:ilvl w:val="0"/>
          <w:numId w:val="2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保存期限：所有归档材料按学校要求进行纸质存档和电子备份，确保答辩过程可追溯、责任可追究。</w:t>
      </w:r>
    </w:p>
    <w:p w14:paraId="13557442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22" w:name="heading_22"/>
      <w:r>
        <w:rPr>
          <w:color w:val="auto"/>
          <w:sz w:val="24"/>
          <w:szCs w:val="24"/>
        </w:rPr>
        <w:t>思政融合要求</w:t>
      </w:r>
      <w:bookmarkEnd w:id="22"/>
    </w:p>
    <w:p w14:paraId="02DFDBF8">
      <w:pPr>
        <w:pStyle w:val="11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答辩全流程融入思政教育，强化学生学术素养与价值引领：</w:t>
      </w:r>
    </w:p>
    <w:p w14:paraId="4590A2FD">
      <w:pPr>
        <w:pStyle w:val="11"/>
        <w:numPr>
          <w:ilvl w:val="0"/>
          <w:numId w:val="2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学术诚信教育：强化学生文献标注真实、数据来源可靠的意识，杜绝学术不端行为，培育敬畏学术、恪守诚信的责任意识。</w:t>
      </w:r>
    </w:p>
    <w:p w14:paraId="7AE042C6">
      <w:pPr>
        <w:pStyle w:val="11"/>
        <w:numPr>
          <w:ilvl w:val="0"/>
          <w:numId w:val="2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文化自信培育：针对翻译、跨文化类论文，引导学生在答辩中体现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“用英语讲好中国故事、传播瓯越文化”的思路，强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化文化自信与专业价值认同。</w:t>
      </w:r>
    </w:p>
    <w:p w14:paraId="62C81B7E">
      <w:pPr>
        <w:pStyle w:val="11"/>
        <w:numPr>
          <w:ilvl w:val="0"/>
          <w:numId w:val="2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严谨治学教育：引导学生正视论文缺陷，虚心接受修改意见，培养精益求精、求真务实的治学态度，杜绝浮躁敷衍。</w:t>
      </w:r>
    </w:p>
    <w:p w14:paraId="56AE2013">
      <w:pPr>
        <w:pStyle w:val="11"/>
        <w:numPr>
          <w:ilvl w:val="0"/>
          <w:numId w:val="2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责任担当培育：引导学生尊重学术评价，对研究成果终身负责，结合温州区域发展需求开展研究，树立专业服务地方的责任意识。</w:t>
      </w:r>
    </w:p>
    <w:p w14:paraId="518F126C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24"/>
          <w:szCs w:val="24"/>
        </w:rPr>
      </w:pPr>
      <w:bookmarkStart w:id="23" w:name="heading_23"/>
      <w:r>
        <w:rPr>
          <w:color w:val="auto"/>
          <w:sz w:val="24"/>
          <w:szCs w:val="24"/>
        </w:rPr>
        <w:t>附则</w:t>
      </w:r>
      <w:bookmarkEnd w:id="23"/>
    </w:p>
    <w:p w14:paraId="46FE39B0">
      <w:pPr>
        <w:pStyle w:val="11"/>
        <w:numPr>
          <w:ilvl w:val="0"/>
          <w:numId w:val="2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本规范由温州理工学院外国语学院答辩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委员会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负责解释。</w:t>
      </w:r>
    </w:p>
    <w:p w14:paraId="5F632973">
      <w:pPr>
        <w:pStyle w:val="11"/>
        <w:numPr>
          <w:ilvl w:val="0"/>
          <w:numId w:val="2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本规范自发布之日起施行，未尽事宜按学校毕业设计（论文）相关管理规定执行。</w:t>
      </w:r>
    </w:p>
    <w:p w14:paraId="7CDE5152">
      <w:pPr>
        <w:pStyle w:val="11"/>
        <w:numPr>
          <w:ilvl w:val="0"/>
          <w:numId w:val="2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答辩过程中出现的争议，由学院答辩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委员会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裁决；本规范与学校相关规定不一致的，以学校规定为准。</w:t>
      </w:r>
    </w:p>
    <w:p w14:paraId="2BFC47FA">
      <w:pPr>
        <w:pStyle w:val="11"/>
        <w:widowControl w:val="0"/>
        <w:numPr>
          <w:ilvl w:val="0"/>
          <w:numId w:val="0"/>
        </w:numPr>
        <w:adjustRightInd w:val="0"/>
        <w:spacing w:before="100" w:after="100" w:afterLines="0" w:afterAutospacing="0" w:line="300" w:lineRule="auto"/>
        <w:jc w:val="both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0C2785D8">
      <w:pPr>
        <w:pStyle w:val="11"/>
        <w:widowControl w:val="0"/>
        <w:numPr>
          <w:ilvl w:val="0"/>
          <w:numId w:val="0"/>
        </w:numPr>
        <w:adjustRightInd w:val="0"/>
        <w:spacing w:before="100" w:after="100" w:afterLines="0" w:afterAutospacing="0" w:line="300" w:lineRule="auto"/>
        <w:jc w:val="both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11584AE2">
      <w:pPr>
        <w:pStyle w:val="11"/>
        <w:widowControl w:val="0"/>
        <w:numPr>
          <w:ilvl w:val="0"/>
          <w:numId w:val="0"/>
        </w:numPr>
        <w:adjustRightInd w:val="0"/>
        <w:spacing w:before="100" w:after="100" w:afterLines="0" w:afterAutospacing="0" w:line="300" w:lineRule="auto"/>
        <w:jc w:val="right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外国语学院</w:t>
      </w:r>
    </w:p>
    <w:p w14:paraId="00DA8A32">
      <w:pPr>
        <w:pStyle w:val="11"/>
        <w:widowControl w:val="0"/>
        <w:numPr>
          <w:ilvl w:val="0"/>
          <w:numId w:val="0"/>
        </w:numPr>
        <w:adjustRightInd w:val="0"/>
        <w:spacing w:before="100" w:after="100" w:afterLines="0" w:afterAutospacing="0" w:line="300" w:lineRule="auto"/>
        <w:jc w:val="right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2026年4月15日</w:t>
      </w:r>
    </w:p>
    <w:p w14:paraId="6D485619">
      <w:pPr>
        <w:pStyle w:val="11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706A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8F6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3EA4"/>
    <w:multiLevelType w:val="singleLevel"/>
    <w:tmpl w:val="839B3EA4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8C9375CF"/>
    <w:multiLevelType w:val="singleLevel"/>
    <w:tmpl w:val="8C9375C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A8DFE656"/>
    <w:multiLevelType w:val="singleLevel"/>
    <w:tmpl w:val="A8DFE65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B394C082"/>
    <w:multiLevelType w:val="singleLevel"/>
    <w:tmpl w:val="B394C08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C096F81F"/>
    <w:multiLevelType w:val="singleLevel"/>
    <w:tmpl w:val="C096F81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CA701A19"/>
    <w:multiLevelType w:val="singleLevel"/>
    <w:tmpl w:val="CA701A19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CF5C4A8D"/>
    <w:multiLevelType w:val="singleLevel"/>
    <w:tmpl w:val="CF5C4A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7">
    <w:nsid w:val="D21472A8"/>
    <w:multiLevelType w:val="singleLevel"/>
    <w:tmpl w:val="D21472A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E156AFC9"/>
    <w:multiLevelType w:val="singleLevel"/>
    <w:tmpl w:val="E156AFC9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EB9A9075"/>
    <w:multiLevelType w:val="singleLevel"/>
    <w:tmpl w:val="EB9A9075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0">
    <w:nsid w:val="EDE1BA20"/>
    <w:multiLevelType w:val="singleLevel"/>
    <w:tmpl w:val="EDE1BA2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1">
    <w:nsid w:val="EE27C4B5"/>
    <w:multiLevelType w:val="singleLevel"/>
    <w:tmpl w:val="EE27C4B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2">
    <w:nsid w:val="EE40DA08"/>
    <w:multiLevelType w:val="singleLevel"/>
    <w:tmpl w:val="EE40DA08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3">
    <w:nsid w:val="F23364C4"/>
    <w:multiLevelType w:val="singleLevel"/>
    <w:tmpl w:val="F23364C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4">
    <w:nsid w:val="F67BBECA"/>
    <w:multiLevelType w:val="singleLevel"/>
    <w:tmpl w:val="F67BBEC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5">
    <w:nsid w:val="FF3E5BBC"/>
    <w:multiLevelType w:val="singleLevel"/>
    <w:tmpl w:val="FF3E5BB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6">
    <w:nsid w:val="0DEBE947"/>
    <w:multiLevelType w:val="singleLevel"/>
    <w:tmpl w:val="0DEBE94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7">
    <w:nsid w:val="104C2170"/>
    <w:multiLevelType w:val="singleLevel"/>
    <w:tmpl w:val="104C217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8">
    <w:nsid w:val="234F0528"/>
    <w:multiLevelType w:val="singleLevel"/>
    <w:tmpl w:val="234F052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9">
    <w:nsid w:val="42CC5925"/>
    <w:multiLevelType w:val="singleLevel"/>
    <w:tmpl w:val="42CC5925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0">
    <w:nsid w:val="54756888"/>
    <w:multiLevelType w:val="singleLevel"/>
    <w:tmpl w:val="5475688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1">
    <w:nsid w:val="54D741E8"/>
    <w:multiLevelType w:val="singleLevel"/>
    <w:tmpl w:val="54D741E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2">
    <w:nsid w:val="75DE2850"/>
    <w:multiLevelType w:val="singleLevel"/>
    <w:tmpl w:val="75DE2850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3"/>
  </w:num>
  <w:num w:numId="5">
    <w:abstractNumId w:val="9"/>
  </w:num>
  <w:num w:numId="6">
    <w:abstractNumId w:val="1"/>
  </w:num>
  <w:num w:numId="7">
    <w:abstractNumId w:val="14"/>
  </w:num>
  <w:num w:numId="8">
    <w:abstractNumId w:val="12"/>
  </w:num>
  <w:num w:numId="9">
    <w:abstractNumId w:val="16"/>
  </w:num>
  <w:num w:numId="10">
    <w:abstractNumId w:val="2"/>
  </w:num>
  <w:num w:numId="11">
    <w:abstractNumId w:val="8"/>
  </w:num>
  <w:num w:numId="12">
    <w:abstractNumId w:val="19"/>
  </w:num>
  <w:num w:numId="13">
    <w:abstractNumId w:val="10"/>
  </w:num>
  <w:num w:numId="14">
    <w:abstractNumId w:val="5"/>
  </w:num>
  <w:num w:numId="15">
    <w:abstractNumId w:val="0"/>
  </w:num>
  <w:num w:numId="16">
    <w:abstractNumId w:val="7"/>
  </w:num>
  <w:num w:numId="17">
    <w:abstractNumId w:val="11"/>
  </w:num>
  <w:num w:numId="18">
    <w:abstractNumId w:val="4"/>
  </w:num>
  <w:num w:numId="19">
    <w:abstractNumId w:val="6"/>
  </w:num>
  <w:num w:numId="20">
    <w:abstractNumId w:val="13"/>
  </w:num>
  <w:num w:numId="21">
    <w:abstractNumId w:val="15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ZGUzMGExZDAwOTVmMTc0MTQ5MjlkODIwZGE0NTg4ZGYifQ=="/>
  </w:docVars>
  <w:rsids>
    <w:rsidRoot w:val="00000000"/>
    <w:rsid w:val="02EE59E6"/>
    <w:rsid w:val="054144F3"/>
    <w:rsid w:val="0BD04822"/>
    <w:rsid w:val="0DFC18FF"/>
    <w:rsid w:val="0F3F7CF5"/>
    <w:rsid w:val="14AD2E41"/>
    <w:rsid w:val="171F54CC"/>
    <w:rsid w:val="1AB865A1"/>
    <w:rsid w:val="1BCB46BE"/>
    <w:rsid w:val="228E7279"/>
    <w:rsid w:val="24AC3302"/>
    <w:rsid w:val="2A2953D2"/>
    <w:rsid w:val="2CA13945"/>
    <w:rsid w:val="30BA13FA"/>
    <w:rsid w:val="33A22923"/>
    <w:rsid w:val="362D0B25"/>
    <w:rsid w:val="38385FD0"/>
    <w:rsid w:val="39B03C82"/>
    <w:rsid w:val="3AA12000"/>
    <w:rsid w:val="3C7B59CB"/>
    <w:rsid w:val="3D606F05"/>
    <w:rsid w:val="3DD36013"/>
    <w:rsid w:val="40A00219"/>
    <w:rsid w:val="41D40D15"/>
    <w:rsid w:val="451F76A5"/>
    <w:rsid w:val="46ED1CFF"/>
    <w:rsid w:val="48390447"/>
    <w:rsid w:val="48825F81"/>
    <w:rsid w:val="4BD138DD"/>
    <w:rsid w:val="51A40970"/>
    <w:rsid w:val="585F013B"/>
    <w:rsid w:val="5B737422"/>
    <w:rsid w:val="5D3A4C25"/>
    <w:rsid w:val="64445FAD"/>
    <w:rsid w:val="659F5F6D"/>
    <w:rsid w:val="66BF7F33"/>
    <w:rsid w:val="68C430EB"/>
    <w:rsid w:val="727E0081"/>
    <w:rsid w:val="73783C4B"/>
    <w:rsid w:val="785E0DC7"/>
    <w:rsid w:val="7C503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customStyle="1" w:styleId="16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3847</Words>
  <Characters>3912</Characters>
  <TotalTime>14</TotalTime>
  <ScaleCrop>false</ScaleCrop>
  <LinksUpToDate>false</LinksUpToDate>
  <CharactersWithSpaces>3912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2026-05-12T14:10:00Z</dcterms:created>
  <dc:creator>Apache POI</dc:creator>
  <cp:lastModifiedBy>飞燕</cp:lastModifiedBy>
  <dcterms:modified xsi:type="dcterms:W3CDTF">2026-05-13T01:05:48Z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eyJoZGlkIjoiZmI3NGNmMTg4NTIyZTQ1NmZiYTY5MjVmYTIwMzQxNDAiLCJ1c2VySWQiOiI4MjQxODI1NTQifQ==</vt:lpwstr>
  </property>
  <property fmtid="{D5CDD505-2E9C-101B-9397-08002B2CF9AE}" pid="3" name="KSOProductBuildVer">
    <vt:lpwstr>2052-12.1.0.18276</vt:lpwstr>
  </property>
  <property fmtid="{D5CDD505-2E9C-101B-9397-08002B2CF9AE}" pid="4" name="ICV">
    <vt:lpwstr>887200E4DF254F30888EF8462AB62FC0_12</vt:lpwstr>
  </property>
</Properties>
</file>