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eastAsia="方正书宋简体"/>
          <w:b/>
          <w:color w:val="000000"/>
          <w:kern w:val="0"/>
          <w:sz w:val="44"/>
          <w:szCs w:val="44"/>
        </w:rPr>
      </w:pPr>
      <w:bookmarkStart w:id="0" w:name="_GoBack"/>
      <w:r>
        <w:rPr>
          <w:rFonts w:eastAsia="方正书宋简体"/>
          <w:b/>
          <w:color w:val="000000"/>
          <w:kern w:val="0"/>
          <w:sz w:val="44"/>
          <w:szCs w:val="44"/>
        </w:rPr>
        <w:t>浙江省“康恩贝自强奖学金”评选管理办法</w:t>
      </w:r>
    </w:p>
    <w:bookmarkEnd w:id="0"/>
    <w:p>
      <w:pPr>
        <w:spacing w:line="590" w:lineRule="exact"/>
        <w:rPr>
          <w:bCs/>
          <w:kern w:val="0"/>
          <w:szCs w:val="32"/>
        </w:rPr>
      </w:pPr>
    </w:p>
    <w:p>
      <w:pPr>
        <w:spacing w:before="312" w:beforeLines="100" w:after="312" w:afterLines="100" w:line="580" w:lineRule="exact"/>
        <w:jc w:val="center"/>
        <w:rPr>
          <w:rFonts w:hint="eastAsia" w:ascii="黑体" w:eastAsia="黑体"/>
          <w:szCs w:val="32"/>
        </w:rPr>
      </w:pPr>
      <w:r>
        <w:rPr>
          <w:rFonts w:hint="eastAsia" w:ascii="黑体" w:eastAsia="黑体"/>
          <w:szCs w:val="32"/>
        </w:rPr>
        <w:t>第一章  总    则</w:t>
      </w:r>
    </w:p>
    <w:p>
      <w:pPr>
        <w:snapToGrid w:val="0"/>
        <w:spacing w:line="580" w:lineRule="exact"/>
        <w:ind w:firstLine="640" w:firstLineChars="200"/>
        <w:rPr>
          <w:color w:val="000000"/>
          <w:szCs w:val="32"/>
          <w:shd w:val="clear" w:color="auto" w:fill="FFFFFF"/>
        </w:rPr>
      </w:pPr>
      <w:r>
        <w:rPr>
          <w:rFonts w:ascii="黑体" w:eastAsia="黑体"/>
          <w:szCs w:val="32"/>
        </w:rPr>
        <w:t>第一条</w:t>
      </w:r>
      <w:r>
        <w:rPr>
          <w:szCs w:val="32"/>
        </w:rPr>
        <w:t xml:space="preserve">  为进一步引导激励残疾人身残志坚、自强不息、奋发成才，经省残疾人联合会和省教育厅同意，自2007年起，由康恩贝集团有限公司专设“康恩贝自强奖学金”，基金为留本捐息性质，本金规模为1000万元，每年向省残疾人福利基金会捐息100万元。为进一步做好“康恩贝自强奖学金”的评选工作，特修订本管理办法。</w:t>
      </w:r>
    </w:p>
    <w:p>
      <w:pPr>
        <w:snapToGrid w:val="0"/>
        <w:spacing w:line="580" w:lineRule="exact"/>
        <w:ind w:firstLine="640" w:firstLineChars="200"/>
        <w:rPr>
          <w:szCs w:val="32"/>
        </w:rPr>
      </w:pPr>
      <w:r>
        <w:rPr>
          <w:rFonts w:ascii="黑体" w:eastAsia="黑体"/>
          <w:szCs w:val="32"/>
        </w:rPr>
        <w:t>第二条</w:t>
      </w:r>
      <w:r>
        <w:rPr>
          <w:szCs w:val="32"/>
        </w:rPr>
        <w:t xml:space="preserve">  康恩贝自强奖学金每年评审一次，坚持公开、公平、公正、择优的原则，用于奖励我省品学兼优，自学成才、贡献社会的优秀残疾人。</w:t>
      </w:r>
    </w:p>
    <w:p>
      <w:pPr>
        <w:spacing w:before="312" w:beforeLines="100" w:after="312" w:afterLines="100" w:line="580" w:lineRule="exact"/>
        <w:jc w:val="center"/>
        <w:rPr>
          <w:rFonts w:ascii="黑体" w:eastAsia="黑体"/>
          <w:szCs w:val="32"/>
        </w:rPr>
      </w:pPr>
      <w:r>
        <w:rPr>
          <w:rFonts w:hint="eastAsia" w:ascii="黑体" w:eastAsia="黑体"/>
          <w:szCs w:val="32"/>
        </w:rPr>
        <w:t xml:space="preserve">第二章  </w:t>
      </w:r>
      <w:r>
        <w:rPr>
          <w:rFonts w:ascii="黑体" w:eastAsia="黑体"/>
          <w:szCs w:val="32"/>
        </w:rPr>
        <w:t>奖励原则与评选范围</w:t>
      </w:r>
    </w:p>
    <w:p>
      <w:pPr>
        <w:snapToGrid w:val="0"/>
        <w:spacing w:line="580" w:lineRule="exact"/>
        <w:ind w:firstLine="640" w:firstLineChars="200"/>
        <w:rPr>
          <w:szCs w:val="32"/>
        </w:rPr>
      </w:pPr>
      <w:r>
        <w:rPr>
          <w:rFonts w:ascii="黑体" w:eastAsia="黑体"/>
          <w:szCs w:val="32"/>
        </w:rPr>
        <w:t>第三条</w:t>
      </w:r>
      <w:r>
        <w:rPr>
          <w:szCs w:val="32"/>
        </w:rPr>
        <w:t xml:space="preserve">  康恩贝自强奖学金坚持精神奖励和物质奖励相结合、以精神奖励为主的原则。对获奖者颁发荣誉证书和奖金，奖金额度根据每年奖学金申报的情况确定。</w:t>
      </w:r>
    </w:p>
    <w:p>
      <w:pPr>
        <w:snapToGrid w:val="0"/>
        <w:spacing w:line="590" w:lineRule="exact"/>
        <w:ind w:firstLine="640" w:firstLineChars="200"/>
        <w:rPr>
          <w:szCs w:val="32"/>
        </w:rPr>
      </w:pPr>
      <w:r>
        <w:rPr>
          <w:rFonts w:ascii="黑体" w:eastAsia="黑体"/>
          <w:szCs w:val="32"/>
        </w:rPr>
        <w:t>第四条</w:t>
      </w:r>
      <w:r>
        <w:rPr>
          <w:szCs w:val="32"/>
        </w:rPr>
        <w:t xml:space="preserve">  康恩贝自强奖学金的评选范围</w:t>
      </w:r>
    </w:p>
    <w:p>
      <w:pPr>
        <w:snapToGrid w:val="0"/>
        <w:spacing w:line="590" w:lineRule="exact"/>
        <w:ind w:firstLine="640" w:firstLineChars="200"/>
        <w:rPr>
          <w:szCs w:val="32"/>
        </w:rPr>
      </w:pPr>
      <w:r>
        <w:rPr>
          <w:szCs w:val="32"/>
        </w:rPr>
        <w:t>1.</w:t>
      </w:r>
      <w:r>
        <w:rPr>
          <w:color w:val="FF0000"/>
          <w:szCs w:val="32"/>
        </w:rPr>
        <w:t xml:space="preserve"> </w:t>
      </w:r>
      <w:r>
        <w:rPr>
          <w:szCs w:val="32"/>
        </w:rPr>
        <w:t>浙江省内各高等院校全日制在校的残疾人本专科（含高职）生、研究生；</w:t>
      </w:r>
    </w:p>
    <w:p>
      <w:pPr>
        <w:snapToGrid w:val="0"/>
        <w:spacing w:line="600" w:lineRule="exact"/>
        <w:ind w:firstLine="640" w:firstLineChars="200"/>
        <w:rPr>
          <w:szCs w:val="32"/>
        </w:rPr>
      </w:pPr>
      <w:r>
        <w:rPr>
          <w:szCs w:val="32"/>
        </w:rPr>
        <w:t>2. 在省外高等院校就读的浙江籍残疾人博士研究生；</w:t>
      </w:r>
    </w:p>
    <w:p>
      <w:pPr>
        <w:snapToGrid w:val="0"/>
        <w:spacing w:line="600" w:lineRule="exact"/>
        <w:ind w:firstLine="640" w:firstLineChars="200"/>
        <w:rPr>
          <w:szCs w:val="32"/>
        </w:rPr>
      </w:pPr>
      <w:r>
        <w:rPr>
          <w:szCs w:val="32"/>
        </w:rPr>
        <w:t>3. 浙江省内自学成才并发挥特长、做出突出贡献的优秀残疾人。</w:t>
      </w:r>
    </w:p>
    <w:p>
      <w:pPr>
        <w:snapToGrid w:val="0"/>
        <w:spacing w:line="600" w:lineRule="exact"/>
        <w:ind w:firstLine="640" w:firstLineChars="200"/>
        <w:rPr>
          <w:szCs w:val="32"/>
        </w:rPr>
      </w:pPr>
      <w:r>
        <w:rPr>
          <w:rFonts w:ascii="黑体" w:eastAsia="黑体"/>
          <w:szCs w:val="32"/>
        </w:rPr>
        <w:t>第五条</w:t>
      </w:r>
      <w:r>
        <w:rPr>
          <w:szCs w:val="32"/>
        </w:rPr>
        <w:t xml:space="preserve">  本办法所称研究生是指普通高等学校纳入国家研究生招生计划的全日制研究生。</w:t>
      </w:r>
    </w:p>
    <w:p>
      <w:pPr>
        <w:snapToGrid w:val="0"/>
        <w:spacing w:line="600" w:lineRule="exact"/>
        <w:ind w:firstLine="640" w:firstLineChars="200"/>
        <w:rPr>
          <w:szCs w:val="32"/>
        </w:rPr>
      </w:pPr>
      <w:r>
        <w:rPr>
          <w:rFonts w:ascii="黑体" w:eastAsia="黑体"/>
          <w:szCs w:val="32"/>
        </w:rPr>
        <w:t>第六条</w:t>
      </w:r>
      <w:r>
        <w:rPr>
          <w:szCs w:val="32"/>
        </w:rPr>
        <w:t xml:space="preserve">  当年度新录取的本专科（含高职）生、研究生不在本评选范围内。</w:t>
      </w:r>
    </w:p>
    <w:p>
      <w:pPr>
        <w:spacing w:before="312" w:beforeLines="100" w:after="312" w:afterLines="100" w:line="600" w:lineRule="exact"/>
        <w:ind w:firstLine="640" w:firstLineChars="200"/>
        <w:jc w:val="center"/>
        <w:rPr>
          <w:rFonts w:ascii="黑体" w:eastAsia="黑体"/>
          <w:szCs w:val="32"/>
        </w:rPr>
      </w:pPr>
      <w:r>
        <w:rPr>
          <w:rFonts w:hint="eastAsia" w:ascii="黑体" w:eastAsia="黑体"/>
          <w:szCs w:val="32"/>
        </w:rPr>
        <w:t xml:space="preserve">第三章  </w:t>
      </w:r>
      <w:r>
        <w:rPr>
          <w:rFonts w:ascii="黑体" w:eastAsia="黑体"/>
          <w:szCs w:val="32"/>
        </w:rPr>
        <w:t>奖励设置与申请条件</w:t>
      </w:r>
    </w:p>
    <w:p>
      <w:pPr>
        <w:snapToGrid w:val="0"/>
        <w:spacing w:line="600" w:lineRule="exact"/>
        <w:ind w:firstLine="640" w:firstLineChars="200"/>
        <w:rPr>
          <w:szCs w:val="32"/>
        </w:rPr>
      </w:pPr>
      <w:r>
        <w:rPr>
          <w:rFonts w:ascii="黑体" w:eastAsia="黑体"/>
          <w:szCs w:val="32"/>
        </w:rPr>
        <w:t>第七条</w:t>
      </w:r>
      <w:r>
        <w:rPr>
          <w:szCs w:val="32"/>
        </w:rPr>
        <w:t xml:space="preserve">  康恩贝自强奖学金设立特等奖、一等奖、二等奖、三等奖、优秀奖和自强成才奖。</w:t>
      </w:r>
    </w:p>
    <w:p>
      <w:pPr>
        <w:snapToGrid w:val="0"/>
        <w:spacing w:line="600" w:lineRule="exact"/>
        <w:ind w:firstLine="640" w:firstLineChars="200"/>
        <w:rPr>
          <w:szCs w:val="32"/>
        </w:rPr>
      </w:pPr>
      <w:r>
        <w:rPr>
          <w:rFonts w:ascii="黑体" w:eastAsia="黑体"/>
          <w:szCs w:val="32"/>
        </w:rPr>
        <w:t>第八条</w:t>
      </w:r>
      <w:r>
        <w:rPr>
          <w:szCs w:val="32"/>
        </w:rPr>
        <w:t xml:space="preserve">  康恩贝自强奖学金的申请条件</w:t>
      </w:r>
    </w:p>
    <w:p>
      <w:pPr>
        <w:snapToGrid w:val="0"/>
        <w:spacing w:line="600" w:lineRule="exact"/>
        <w:ind w:firstLine="640" w:firstLineChars="200"/>
        <w:rPr>
          <w:szCs w:val="32"/>
        </w:rPr>
      </w:pPr>
      <w:r>
        <w:rPr>
          <w:szCs w:val="32"/>
        </w:rPr>
        <w:t>1. 特等奖：在校就读、品学兼优的残疾人博士研究生；获得当年度校级及以上奖学金或荣誉称号的残疾人硕士研究生；表现特别突出，获得当年度校级以上（不含校级）奖学金或荣誉称号的残疾人本科生。</w:t>
      </w:r>
    </w:p>
    <w:p>
      <w:pPr>
        <w:snapToGrid w:val="0"/>
        <w:spacing w:line="600" w:lineRule="exact"/>
        <w:ind w:firstLine="640" w:firstLineChars="200"/>
        <w:rPr>
          <w:szCs w:val="32"/>
        </w:rPr>
      </w:pPr>
      <w:r>
        <w:rPr>
          <w:szCs w:val="32"/>
        </w:rPr>
        <w:t>2. 一等奖：在校就读、品学兼优，获得当年度院（系）级奖学金或荣誉称号的残疾人硕士研究生；获得当年度校级奖学金或荣誉称号的残疾人本科生；获得校级以上（不含校级）奖学金或荣誉称号的残疾人专科（含高职）生。</w:t>
      </w:r>
    </w:p>
    <w:p>
      <w:pPr>
        <w:snapToGrid w:val="0"/>
        <w:spacing w:line="590" w:lineRule="exact"/>
        <w:ind w:firstLine="640" w:firstLineChars="200"/>
        <w:rPr>
          <w:szCs w:val="32"/>
        </w:rPr>
      </w:pPr>
      <w:r>
        <w:rPr>
          <w:szCs w:val="32"/>
        </w:rPr>
        <w:t>3. 二等奖：在校就读、品学兼优，获得当年度班级荣誉称号的残疾人硕士研究生；获得当年度院（系）级奖学金或荣誉称号的残疾人本科生；获得当年度校级奖学金或荣誉称号的残疾人专科（含高职）生。</w:t>
      </w:r>
    </w:p>
    <w:p>
      <w:pPr>
        <w:snapToGrid w:val="0"/>
        <w:spacing w:line="590" w:lineRule="exact"/>
        <w:ind w:firstLine="640" w:firstLineChars="200"/>
        <w:rPr>
          <w:szCs w:val="32"/>
        </w:rPr>
      </w:pPr>
      <w:r>
        <w:rPr>
          <w:szCs w:val="32"/>
        </w:rPr>
        <w:t>4. 三等奖：在校就读、品学兼优的残疾人硕士研究生；获得当年度班级荣誉称号的残疾人本科生；获得当年度院（系）级奖学金或荣誉称号的残疾人专科（含高职）生。</w:t>
      </w:r>
    </w:p>
    <w:p>
      <w:pPr>
        <w:snapToGrid w:val="0"/>
        <w:spacing w:line="590" w:lineRule="exact"/>
        <w:ind w:firstLine="640" w:firstLineChars="200"/>
        <w:rPr>
          <w:szCs w:val="32"/>
        </w:rPr>
      </w:pPr>
      <w:r>
        <w:rPr>
          <w:szCs w:val="32"/>
        </w:rPr>
        <w:t xml:space="preserve">5. </w:t>
      </w:r>
      <w:r>
        <w:rPr>
          <w:spacing w:val="4"/>
          <w:szCs w:val="32"/>
        </w:rPr>
        <w:t>优秀奖：</w:t>
      </w:r>
      <w:r>
        <w:rPr>
          <w:szCs w:val="32"/>
        </w:rPr>
        <w:t>在校就读、品学兼优的残疾人本科生；</w:t>
      </w:r>
      <w:r>
        <w:rPr>
          <w:spacing w:val="4"/>
          <w:szCs w:val="32"/>
        </w:rPr>
        <w:t>获得当年度班级荣誉称号的残疾人专科（含高职）生。</w:t>
      </w:r>
    </w:p>
    <w:p>
      <w:pPr>
        <w:snapToGrid w:val="0"/>
        <w:spacing w:line="590" w:lineRule="exact"/>
        <w:ind w:firstLine="640" w:firstLineChars="200"/>
        <w:rPr>
          <w:szCs w:val="32"/>
        </w:rPr>
      </w:pPr>
      <w:r>
        <w:rPr>
          <w:szCs w:val="32"/>
        </w:rPr>
        <w:t>6. 自强成才奖：在浙江省工作，自学成才、获得本科或本科以上学历，并发挥特长，在当年度某一方面做出突出贡献（获得市级以上有关部门或县级以上人民政府颁发的荣誉证书）的优秀残疾人；在校残疾人大学生或曾受过康恩贝自强奖学金资助、现已毕业，自主创业的。</w:t>
      </w:r>
    </w:p>
    <w:p>
      <w:pPr>
        <w:snapToGrid w:val="0"/>
        <w:spacing w:line="590" w:lineRule="exact"/>
        <w:ind w:firstLine="640" w:firstLineChars="200"/>
        <w:rPr>
          <w:spacing w:val="4"/>
          <w:szCs w:val="32"/>
        </w:rPr>
      </w:pPr>
      <w:r>
        <w:rPr>
          <w:rFonts w:ascii="黑体" w:eastAsia="黑体"/>
          <w:szCs w:val="32"/>
        </w:rPr>
        <w:t>第九条</w:t>
      </w:r>
      <w:r>
        <w:rPr>
          <w:szCs w:val="32"/>
        </w:rPr>
        <w:t xml:space="preserve">  校级单项奖学金视同院（系）级奖学金，以此类推；</w:t>
      </w:r>
      <w:r>
        <w:rPr>
          <w:spacing w:val="4"/>
          <w:szCs w:val="32"/>
        </w:rPr>
        <w:t>当年度在某一方面表现突出、受到有关方面表彰的</w:t>
      </w:r>
      <w:r>
        <w:rPr>
          <w:szCs w:val="32"/>
        </w:rPr>
        <w:t>视同</w:t>
      </w:r>
      <w:r>
        <w:rPr>
          <w:spacing w:val="4"/>
          <w:szCs w:val="32"/>
        </w:rPr>
        <w:t>班级荣誉。</w:t>
      </w:r>
    </w:p>
    <w:p>
      <w:pPr>
        <w:snapToGrid w:val="0"/>
        <w:spacing w:line="590" w:lineRule="exact"/>
        <w:ind w:firstLine="640" w:firstLineChars="200"/>
        <w:rPr>
          <w:spacing w:val="4"/>
          <w:szCs w:val="32"/>
        </w:rPr>
      </w:pPr>
      <w:r>
        <w:rPr>
          <w:rFonts w:ascii="黑体" w:eastAsia="黑体"/>
          <w:szCs w:val="32"/>
        </w:rPr>
        <w:t>第十条</w:t>
      </w:r>
      <w:r>
        <w:rPr>
          <w:spacing w:val="4"/>
          <w:szCs w:val="32"/>
        </w:rPr>
        <w:t xml:space="preserve">  作为主要负责人，参加国家或省（市）级有关部门或团体主办，具有一定参与面和影响力的课外科技竞赛或文体类竞赛获奖的，视同校级以上荣誉。</w:t>
      </w:r>
    </w:p>
    <w:p>
      <w:pPr>
        <w:snapToGrid w:val="0"/>
        <w:spacing w:line="590" w:lineRule="exact"/>
        <w:ind w:firstLine="640" w:firstLineChars="200"/>
        <w:rPr>
          <w:spacing w:val="4"/>
          <w:szCs w:val="32"/>
        </w:rPr>
      </w:pPr>
      <w:r>
        <w:rPr>
          <w:rFonts w:ascii="黑体" w:eastAsia="黑体"/>
          <w:szCs w:val="32"/>
        </w:rPr>
        <w:t>第十一条</w:t>
      </w:r>
      <w:r>
        <w:rPr>
          <w:spacing w:val="4"/>
          <w:szCs w:val="32"/>
        </w:rPr>
        <w:t xml:space="preserve"> </w:t>
      </w:r>
      <w:r>
        <w:rPr>
          <w:rFonts w:hint="eastAsia"/>
          <w:spacing w:val="4"/>
          <w:szCs w:val="32"/>
        </w:rPr>
        <w:t xml:space="preserve"> </w:t>
      </w:r>
      <w:r>
        <w:rPr>
          <w:spacing w:val="4"/>
          <w:szCs w:val="32"/>
        </w:rPr>
        <w:t>作为第一作者，在国内核心期刊上发表学术论文，或SCI、SSCI、EI、ESTP等收录的学术论文，或获得国家发明专利，视同校级以上荣誉；在国家新闻出版总署认可有公开发行刊号的学术期刊上发表论文或获得“国家发明专利”以外专利的，视为校级荣誉。</w:t>
      </w:r>
    </w:p>
    <w:p>
      <w:pPr>
        <w:spacing w:before="312" w:beforeLines="100" w:after="312" w:afterLines="100" w:line="600" w:lineRule="exact"/>
        <w:ind w:firstLine="640" w:firstLineChars="200"/>
        <w:jc w:val="center"/>
        <w:rPr>
          <w:rFonts w:ascii="黑体" w:eastAsia="黑体"/>
          <w:szCs w:val="32"/>
        </w:rPr>
      </w:pPr>
      <w:r>
        <w:rPr>
          <w:rFonts w:hint="eastAsia" w:ascii="黑体" w:eastAsia="黑体"/>
          <w:szCs w:val="32"/>
        </w:rPr>
        <w:t xml:space="preserve">第四章 </w:t>
      </w:r>
      <w:r>
        <w:rPr>
          <w:rFonts w:ascii="黑体" w:eastAsia="黑体"/>
          <w:szCs w:val="32"/>
        </w:rPr>
        <w:t xml:space="preserve"> 申请和评审</w:t>
      </w:r>
    </w:p>
    <w:p>
      <w:pPr>
        <w:snapToGrid w:val="0"/>
        <w:spacing w:line="600" w:lineRule="exact"/>
        <w:ind w:firstLine="640" w:firstLineChars="200"/>
        <w:rPr>
          <w:szCs w:val="32"/>
        </w:rPr>
      </w:pPr>
      <w:r>
        <w:rPr>
          <w:rFonts w:ascii="黑体" w:eastAsia="黑体"/>
          <w:szCs w:val="32"/>
        </w:rPr>
        <w:t>第十二条</w:t>
      </w:r>
      <w:r>
        <w:rPr>
          <w:szCs w:val="32"/>
        </w:rPr>
        <w:t xml:space="preserve">  凡符合第八条中所列条件的残疾人，按照下列程序申请当年度的康恩贝自强奖学金：</w:t>
      </w:r>
    </w:p>
    <w:p>
      <w:pPr>
        <w:snapToGrid w:val="0"/>
        <w:spacing w:line="600" w:lineRule="exact"/>
        <w:ind w:firstLine="640" w:firstLineChars="200"/>
        <w:rPr>
          <w:szCs w:val="32"/>
        </w:rPr>
      </w:pPr>
      <w:r>
        <w:rPr>
          <w:szCs w:val="32"/>
        </w:rPr>
        <w:t>1. 特等奖、一等奖、二等奖、三等奖、优秀奖、自强成才奖（在校生）：由本人填写《浙江省“康恩贝自强奖学金”申请表》（附本人的身份证、残疾人证、当年度获得奖励和荣誉证书的复印件），所在学校审核推荐后统一报省“康恩贝自强奖学金”评审办公室。</w:t>
      </w:r>
    </w:p>
    <w:p>
      <w:pPr>
        <w:snapToGrid w:val="0"/>
        <w:spacing w:line="600" w:lineRule="exact"/>
        <w:ind w:firstLine="640" w:firstLineChars="200"/>
        <w:rPr>
          <w:szCs w:val="32"/>
        </w:rPr>
      </w:pPr>
      <w:r>
        <w:rPr>
          <w:szCs w:val="32"/>
        </w:rPr>
        <w:t>2. 自强成才奖（已毕业）：由本人填写《浙江省“康恩贝自强奖学金”申请表》（附本人的身份证、残疾人证、当年度获得奖励和荣誉证书的复印件），所在市残联审核推荐后统一报省“康恩贝自强奖学金”评审办公室。</w:t>
      </w:r>
    </w:p>
    <w:p>
      <w:pPr>
        <w:snapToGrid w:val="0"/>
        <w:spacing w:line="600" w:lineRule="exact"/>
        <w:ind w:firstLine="640" w:firstLineChars="200"/>
        <w:rPr>
          <w:szCs w:val="32"/>
        </w:rPr>
      </w:pPr>
      <w:r>
        <w:rPr>
          <w:rFonts w:ascii="黑体" w:eastAsia="黑体"/>
          <w:szCs w:val="32"/>
        </w:rPr>
        <w:t>第十三条</w:t>
      </w:r>
      <w:r>
        <w:rPr>
          <w:szCs w:val="32"/>
        </w:rPr>
        <w:t xml:space="preserve">  凡在一个年度内同时符合两个或两个以上等级奖的，以最高等级奖申请。</w:t>
      </w:r>
    </w:p>
    <w:p>
      <w:pPr>
        <w:snapToGrid w:val="0"/>
        <w:spacing w:line="600" w:lineRule="exact"/>
        <w:ind w:firstLine="640" w:firstLineChars="200"/>
        <w:rPr>
          <w:szCs w:val="32"/>
        </w:rPr>
      </w:pPr>
      <w:r>
        <w:rPr>
          <w:rFonts w:ascii="黑体" w:eastAsia="黑体"/>
          <w:szCs w:val="32"/>
        </w:rPr>
        <w:t>第十四条</w:t>
      </w:r>
      <w:r>
        <w:rPr>
          <w:szCs w:val="32"/>
        </w:rPr>
        <w:t xml:space="preserve"> </w:t>
      </w:r>
      <w:r>
        <w:rPr>
          <w:rFonts w:hint="eastAsia"/>
          <w:szCs w:val="32"/>
        </w:rPr>
        <w:t xml:space="preserve"> </w:t>
      </w:r>
      <w:r>
        <w:rPr>
          <w:szCs w:val="32"/>
        </w:rPr>
        <w:t>省“康恩贝自强奖学金”评审办公室根据各校和各市残联推荐上报的材料进行审核、确定并公布获奖名单。</w:t>
      </w:r>
    </w:p>
    <w:p>
      <w:pPr>
        <w:spacing w:before="312" w:beforeLines="100" w:after="312" w:afterLines="100" w:line="600" w:lineRule="exact"/>
        <w:ind w:firstLine="640" w:firstLineChars="200"/>
        <w:jc w:val="center"/>
        <w:rPr>
          <w:rFonts w:ascii="黑体" w:eastAsia="黑体"/>
          <w:szCs w:val="32"/>
        </w:rPr>
      </w:pPr>
      <w:r>
        <w:rPr>
          <w:rFonts w:ascii="黑体" w:eastAsia="黑体"/>
          <w:szCs w:val="32"/>
        </w:rPr>
        <w:t>第五章</w:t>
      </w:r>
      <w:r>
        <w:rPr>
          <w:rFonts w:hint="eastAsia" w:ascii="黑体" w:eastAsia="黑体"/>
          <w:szCs w:val="32"/>
        </w:rPr>
        <w:t xml:space="preserve"> </w:t>
      </w:r>
      <w:r>
        <w:rPr>
          <w:rFonts w:ascii="黑体" w:eastAsia="黑体"/>
          <w:szCs w:val="32"/>
        </w:rPr>
        <w:t xml:space="preserve"> 材料报送</w:t>
      </w:r>
    </w:p>
    <w:p>
      <w:pPr>
        <w:snapToGrid w:val="0"/>
        <w:spacing w:line="590" w:lineRule="exact"/>
        <w:ind w:firstLine="640" w:firstLineChars="200"/>
        <w:rPr>
          <w:szCs w:val="32"/>
        </w:rPr>
      </w:pPr>
      <w:r>
        <w:rPr>
          <w:rFonts w:ascii="黑体" w:eastAsia="黑体"/>
          <w:szCs w:val="32"/>
        </w:rPr>
        <w:t>第十五条</w:t>
      </w:r>
      <w:r>
        <w:rPr>
          <w:szCs w:val="32"/>
        </w:rPr>
        <w:t xml:space="preserve">  各校和各市残联于每年1</w:t>
      </w:r>
      <w:r>
        <w:rPr>
          <w:rFonts w:hint="eastAsia"/>
          <w:szCs w:val="32"/>
        </w:rPr>
        <w:t>1</w:t>
      </w:r>
      <w:r>
        <w:rPr>
          <w:szCs w:val="32"/>
        </w:rPr>
        <w:t>月</w:t>
      </w:r>
      <w:r>
        <w:rPr>
          <w:rFonts w:hint="eastAsia"/>
          <w:szCs w:val="32"/>
        </w:rPr>
        <w:t>22</w:t>
      </w:r>
      <w:r>
        <w:rPr>
          <w:szCs w:val="32"/>
        </w:rPr>
        <w:t>日前将本年度的评审材料报省“康恩贝自强奖学金”评审办公室。上报时须做到《浙江省“康恩贝自强奖学金”申请表》《浙江省“康恩贝自强奖学金”推荐表》《浙江省“康恩贝自强奖学金”推荐名单汇总表》和所申请推荐残疾人的身份证、残疾人证、当年度获得奖励和荣誉证书的复印件等材料齐全。</w:t>
      </w:r>
    </w:p>
    <w:p>
      <w:pPr>
        <w:spacing w:before="312" w:beforeLines="100" w:after="312" w:afterLines="100" w:line="590" w:lineRule="exact"/>
        <w:ind w:firstLine="640" w:firstLineChars="200"/>
        <w:jc w:val="center"/>
        <w:rPr>
          <w:rFonts w:ascii="黑体" w:eastAsia="黑体"/>
          <w:szCs w:val="32"/>
        </w:rPr>
      </w:pPr>
      <w:r>
        <w:rPr>
          <w:rFonts w:ascii="黑体" w:eastAsia="黑体"/>
          <w:szCs w:val="32"/>
        </w:rPr>
        <w:t>第六章</w:t>
      </w:r>
      <w:r>
        <w:rPr>
          <w:rFonts w:hint="eastAsia" w:ascii="黑体" w:eastAsia="黑体"/>
          <w:szCs w:val="32"/>
        </w:rPr>
        <w:t xml:space="preserve"> </w:t>
      </w:r>
      <w:r>
        <w:rPr>
          <w:rFonts w:ascii="黑体" w:eastAsia="黑体"/>
          <w:szCs w:val="32"/>
        </w:rPr>
        <w:t xml:space="preserve"> 附</w:t>
      </w:r>
      <w:r>
        <w:rPr>
          <w:rFonts w:hint="eastAsia" w:ascii="黑体" w:eastAsia="黑体"/>
          <w:szCs w:val="32"/>
        </w:rPr>
        <w:t xml:space="preserve">    </w:t>
      </w:r>
      <w:r>
        <w:rPr>
          <w:rFonts w:ascii="黑体" w:eastAsia="黑体"/>
          <w:szCs w:val="32"/>
        </w:rPr>
        <w:t>则</w:t>
      </w:r>
    </w:p>
    <w:p>
      <w:pPr>
        <w:snapToGrid w:val="0"/>
        <w:spacing w:line="590" w:lineRule="exact"/>
        <w:ind w:firstLine="640" w:firstLineChars="200"/>
        <w:rPr>
          <w:szCs w:val="32"/>
        </w:rPr>
      </w:pPr>
      <w:r>
        <w:rPr>
          <w:rFonts w:hint="eastAsia" w:ascii="黑体" w:eastAsia="黑体"/>
          <w:szCs w:val="32"/>
        </w:rPr>
        <w:t>第十六条</w:t>
      </w:r>
      <w:r>
        <w:rPr>
          <w:szCs w:val="32"/>
        </w:rPr>
        <w:t xml:space="preserve">  本办法自发文之日起施行，由省残疾人福利基金会负责解释。浙江省残联和浙江省教育厅《关于转发〈浙江省“康恩贝自强奖学金”奖励办法〉的通知》（浙残联计财〔2007〕77号）同时废止。</w:t>
      </w:r>
    </w:p>
    <w:p>
      <w:pPr>
        <w:snapToGrid w:val="0"/>
        <w:spacing w:line="590" w:lineRule="exact"/>
        <w:ind w:firstLine="640" w:firstLineChars="200"/>
        <w:rPr>
          <w:rFonts w:hint="eastAsia"/>
          <w:szCs w:val="32"/>
        </w:rPr>
      </w:pPr>
    </w:p>
    <w:p>
      <w:pPr>
        <w:snapToGrid w:val="0"/>
        <w:spacing w:line="590" w:lineRule="exact"/>
        <w:ind w:firstLine="640" w:firstLineChars="200"/>
        <w:rPr>
          <w:szCs w:val="32"/>
        </w:rPr>
      </w:pPr>
      <w:r>
        <w:rPr>
          <w:szCs w:val="32"/>
        </w:rPr>
        <w:t>附</w:t>
      </w:r>
      <w:r>
        <w:rPr>
          <w:rFonts w:hint="eastAsia"/>
          <w:szCs w:val="32"/>
        </w:rPr>
        <w:t>表</w:t>
      </w:r>
      <w:r>
        <w:rPr>
          <w:szCs w:val="32"/>
        </w:rPr>
        <w:t>：1. 浙江省“康恩贝自强奖学金”申请表</w:t>
      </w:r>
    </w:p>
    <w:p>
      <w:pPr>
        <w:snapToGrid w:val="0"/>
        <w:spacing w:line="590" w:lineRule="exact"/>
        <w:ind w:firstLine="1600" w:firstLineChars="500"/>
        <w:rPr>
          <w:szCs w:val="32"/>
        </w:rPr>
      </w:pPr>
      <w:r>
        <w:rPr>
          <w:szCs w:val="32"/>
        </w:rPr>
        <w:t>2. 浙江省“康恩贝自强奖学金”推荐表</w:t>
      </w:r>
    </w:p>
    <w:p>
      <w:pPr>
        <w:snapToGrid w:val="0"/>
        <w:spacing w:line="590" w:lineRule="exact"/>
        <w:ind w:firstLine="1600" w:firstLineChars="500"/>
        <w:rPr>
          <w:szCs w:val="32"/>
        </w:rPr>
      </w:pPr>
      <w:r>
        <w:rPr>
          <w:szCs w:val="32"/>
        </w:rPr>
        <w:t>3. 浙江省“康恩贝自强奖学金”推荐名单汇总表</w:t>
      </w:r>
    </w:p>
    <w:p>
      <w:pPr>
        <w:snapToGrid w:val="0"/>
        <w:spacing w:line="590" w:lineRule="exact"/>
        <w:ind w:firstLine="640" w:firstLineChars="200"/>
        <w:rPr>
          <w:szCs w:val="32"/>
        </w:rPr>
      </w:pPr>
    </w:p>
    <w:p>
      <w:pPr>
        <w:snapToGrid w:val="0"/>
        <w:spacing w:line="590" w:lineRule="exact"/>
        <w:ind w:right="640" w:rightChars="200" w:firstLine="640" w:firstLineChars="200"/>
        <w:jc w:val="right"/>
        <w:rPr>
          <w:szCs w:val="32"/>
        </w:rPr>
      </w:pPr>
      <w:r>
        <w:rPr>
          <w:szCs w:val="32"/>
        </w:rPr>
        <w:t>浙江省残疾人福利基金会</w:t>
      </w:r>
    </w:p>
    <w:p>
      <w:pPr>
        <w:snapToGrid w:val="0"/>
        <w:spacing w:line="590" w:lineRule="exact"/>
        <w:ind w:right="640" w:rightChars="200" w:firstLine="800" w:firstLineChars="200"/>
        <w:jc w:val="right"/>
        <w:rPr>
          <w:szCs w:val="32"/>
        </w:rPr>
      </w:pPr>
      <w:r>
        <w:rPr>
          <w:spacing w:val="40"/>
          <w:kern w:val="0"/>
          <w:szCs w:val="32"/>
        </w:rPr>
        <w:t>康恩贝集团有限公</w:t>
      </w:r>
      <w:r>
        <w:rPr>
          <w:kern w:val="0"/>
          <w:szCs w:val="32"/>
        </w:rPr>
        <w:t>司</w:t>
      </w:r>
    </w:p>
    <w:p>
      <w:pPr>
        <w:spacing w:line="590" w:lineRule="exact"/>
        <w:ind w:right="1338" w:rightChars="418" w:firstLine="640" w:firstLineChars="200"/>
        <w:jc w:val="right"/>
        <w:rPr>
          <w:szCs w:val="32"/>
        </w:rPr>
      </w:pPr>
      <w:r>
        <w:rPr>
          <w:szCs w:val="32"/>
        </w:rPr>
        <w:t>二</w:t>
      </w:r>
      <w:r>
        <w:rPr>
          <w:rFonts w:hint="eastAsia"/>
          <w:szCs w:val="32"/>
        </w:rPr>
        <w:t>○</w:t>
      </w:r>
      <w:r>
        <w:rPr>
          <w:szCs w:val="32"/>
        </w:rPr>
        <w:t>一七年八月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微软雅黑"/>
    <w:panose1 w:val="02010609030101010101"/>
    <w:charset w:val="86"/>
    <w:family w:val="modern"/>
    <w:pitch w:val="default"/>
    <w:sig w:usb0="00000000" w:usb1="00000000" w:usb2="00000010" w:usb3="00000000" w:csb0="00040000" w:csb1="00000000"/>
  </w:font>
  <w:font w:name="方正书宋简体">
    <w:altName w:val="方正书宋_GBK"/>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5BD"/>
    <w:rsid w:val="003D720E"/>
    <w:rsid w:val="00A70428"/>
    <w:rsid w:val="00CD45BD"/>
    <w:rsid w:val="00DE3989"/>
    <w:rsid w:val="D7F6F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318</Words>
  <Characters>1816</Characters>
  <Lines>15</Lines>
  <Paragraphs>4</Paragraphs>
  <TotalTime>1</TotalTime>
  <ScaleCrop>false</ScaleCrop>
  <LinksUpToDate>false</LinksUpToDate>
  <CharactersWithSpaces>2130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2022-09-14T16:13:00Z</dcterms:created>
  <dc:creator>陈 芝</dc:creator>
  <cp:lastModifiedBy>user</cp:lastModifiedBy>
  <dcterms:modified xsi:type="dcterms:W3CDTF">2025-09-24T14:04:14Z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