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0E37" w14:textId="77777777" w:rsidR="00856D24" w:rsidRDefault="00856D24" w:rsidP="00856D24">
      <w:pPr>
        <w:jc w:val="center"/>
        <w:rPr>
          <w:rFonts w:ascii="华文仿宋" w:eastAsia="华文仿宋" w:hAnsi="华文仿宋" w:hint="eastAsia"/>
          <w:b/>
          <w:bCs/>
          <w:sz w:val="32"/>
          <w:szCs w:val="32"/>
        </w:rPr>
      </w:pPr>
      <w:r>
        <w:rPr>
          <w:rFonts w:ascii="微软雅黑" w:eastAsia="微软雅黑" w:hAnsi="微软雅黑" w:hint="eastAsia"/>
          <w:color w:val="333333"/>
        </w:rPr>
        <w:t> </w:t>
      </w:r>
      <w:r>
        <w:rPr>
          <w:rFonts w:ascii="华文仿宋" w:eastAsia="华文仿宋" w:hAnsi="华文仿宋" w:hint="eastAsia"/>
          <w:b/>
          <w:bCs/>
          <w:sz w:val="32"/>
          <w:szCs w:val="32"/>
        </w:rPr>
        <w:t>温州理工学院外国语学院（国际教育学院）</w:t>
      </w:r>
    </w:p>
    <w:p w14:paraId="286513D2" w14:textId="4F987A57" w:rsidR="00856D24" w:rsidRPr="00AE34C7" w:rsidRDefault="00856D24" w:rsidP="00856D24">
      <w:pPr>
        <w:jc w:val="center"/>
        <w:rPr>
          <w:rFonts w:ascii="华文仿宋" w:eastAsia="华文仿宋" w:hAnsi="华文仿宋"/>
          <w:b/>
          <w:bCs/>
          <w:sz w:val="32"/>
          <w:szCs w:val="32"/>
        </w:rPr>
      </w:pPr>
      <w:r w:rsidRPr="00AE34C7">
        <w:rPr>
          <w:rFonts w:ascii="华文仿宋" w:eastAsia="华文仿宋" w:hAnsi="华文仿宋" w:hint="eastAsia"/>
          <w:b/>
          <w:bCs/>
          <w:sz w:val="32"/>
          <w:szCs w:val="32"/>
        </w:rPr>
        <w:t>2</w:t>
      </w:r>
      <w:r w:rsidRPr="00AE34C7">
        <w:rPr>
          <w:rFonts w:ascii="华文仿宋" w:eastAsia="华文仿宋" w:hAnsi="华文仿宋"/>
          <w:b/>
          <w:bCs/>
          <w:sz w:val="32"/>
          <w:szCs w:val="32"/>
        </w:rPr>
        <w:t>02</w:t>
      </w:r>
      <w:r>
        <w:rPr>
          <w:rFonts w:ascii="华文仿宋" w:eastAsia="华文仿宋" w:hAnsi="华文仿宋"/>
          <w:b/>
          <w:bCs/>
          <w:sz w:val="32"/>
          <w:szCs w:val="32"/>
        </w:rPr>
        <w:t>4</w:t>
      </w:r>
      <w:r w:rsidRPr="00AE34C7">
        <w:rPr>
          <w:rFonts w:ascii="华文仿宋" w:eastAsia="华文仿宋" w:hAnsi="华文仿宋" w:hint="eastAsia"/>
          <w:b/>
          <w:bCs/>
          <w:sz w:val="32"/>
          <w:szCs w:val="32"/>
        </w:rPr>
        <w:t>届优秀毕业生评选细则</w:t>
      </w:r>
    </w:p>
    <w:p w14:paraId="095901B4" w14:textId="48B62FD6"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color w:val="333333"/>
        </w:rPr>
      </w:pPr>
    </w:p>
    <w:p w14:paraId="020D72C8" w14:textId="1A033D72"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color w:val="333333"/>
        </w:rPr>
      </w:pPr>
      <w:r>
        <w:rPr>
          <w:rStyle w:val="a4"/>
          <w:rFonts w:ascii="微软雅黑" w:eastAsia="微软雅黑" w:hAnsi="微软雅黑" w:hint="eastAsia"/>
          <w:color w:val="333333"/>
        </w:rPr>
        <w:t>一、评选对象：</w:t>
      </w:r>
    </w:p>
    <w:p w14:paraId="58F92258"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我校2024届本科毕业生。</w:t>
      </w:r>
    </w:p>
    <w:p w14:paraId="68A772F2" w14:textId="28B7C6D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Style w:val="a4"/>
          <w:rFonts w:ascii="微软雅黑" w:eastAsia="微软雅黑" w:hAnsi="微软雅黑" w:hint="eastAsia"/>
          <w:color w:val="333333"/>
        </w:rPr>
        <w:t> 二、评选比例</w:t>
      </w:r>
      <w:r>
        <w:rPr>
          <w:rFonts w:ascii="微软雅黑" w:eastAsia="微软雅黑" w:hAnsi="微软雅黑" w:hint="eastAsia"/>
          <w:color w:val="333333"/>
        </w:rPr>
        <w:t>：</w:t>
      </w:r>
    </w:p>
    <w:p w14:paraId="1FA89082"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color w:val="333333"/>
        </w:rPr>
      </w:pPr>
      <w:r>
        <w:rPr>
          <w:rFonts w:ascii="微软雅黑" w:eastAsia="微软雅黑" w:hAnsi="微软雅黑" w:hint="eastAsia"/>
          <w:color w:val="333333"/>
        </w:rPr>
        <w:t>        “省优”比例为毕业生人数的</w:t>
      </w:r>
      <w:r>
        <w:rPr>
          <w:rStyle w:val="a4"/>
          <w:rFonts w:ascii="微软雅黑" w:eastAsia="微软雅黑" w:hAnsi="微软雅黑" w:hint="eastAsia"/>
          <w:color w:val="333333"/>
        </w:rPr>
        <w:t>4%</w:t>
      </w:r>
      <w:r>
        <w:rPr>
          <w:rFonts w:ascii="微软雅黑" w:eastAsia="微软雅黑" w:hAnsi="微软雅黑" w:hint="eastAsia"/>
          <w:color w:val="333333"/>
        </w:rPr>
        <w:t>，“校优”比例为毕业生人数的</w:t>
      </w:r>
      <w:r>
        <w:rPr>
          <w:rStyle w:val="a4"/>
          <w:rFonts w:ascii="微软雅黑" w:eastAsia="微软雅黑" w:hAnsi="微软雅黑" w:hint="eastAsia"/>
          <w:color w:val="333333"/>
        </w:rPr>
        <w:t>16%</w:t>
      </w:r>
      <w:r>
        <w:rPr>
          <w:rFonts w:ascii="微软雅黑" w:eastAsia="微软雅黑" w:hAnsi="微软雅黑" w:hint="eastAsia"/>
          <w:color w:val="333333"/>
        </w:rPr>
        <w:t>。</w:t>
      </w:r>
    </w:p>
    <w:p w14:paraId="1F64C39D" w14:textId="4C24178E"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Style w:val="a4"/>
          <w:rFonts w:ascii="微软雅黑" w:eastAsia="微软雅黑" w:hAnsi="微软雅黑" w:hint="eastAsia"/>
          <w:color w:val="333333"/>
        </w:rPr>
        <w:t> 三、评选办法：</w:t>
      </w:r>
    </w:p>
    <w:p w14:paraId="77B12C2F"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A、按</w:t>
      </w:r>
      <w:proofErr w:type="gramStart"/>
      <w:r>
        <w:rPr>
          <w:rFonts w:ascii="微软雅黑" w:eastAsia="微软雅黑" w:hAnsi="微软雅黑" w:hint="eastAsia"/>
          <w:color w:val="333333"/>
        </w:rPr>
        <w:t>总综合</w:t>
      </w:r>
      <w:proofErr w:type="gramEnd"/>
      <w:r>
        <w:rPr>
          <w:rFonts w:ascii="微软雅黑" w:eastAsia="微软雅黑" w:hAnsi="微软雅黑" w:hint="eastAsia"/>
          <w:color w:val="333333"/>
        </w:rPr>
        <w:t>素质考评成绩名次和总智育成绩名次</w:t>
      </w:r>
      <w:r>
        <w:rPr>
          <w:rStyle w:val="a4"/>
          <w:rFonts w:ascii="微软雅黑" w:eastAsia="微软雅黑" w:hAnsi="微软雅黑" w:hint="eastAsia"/>
          <w:color w:val="333333"/>
        </w:rPr>
        <w:t>之和</w:t>
      </w:r>
      <w:r>
        <w:rPr>
          <w:rFonts w:ascii="微软雅黑" w:eastAsia="微软雅黑" w:hAnsi="微软雅黑" w:hint="eastAsia"/>
          <w:color w:val="333333"/>
        </w:rPr>
        <w:t>排列，并按规定的名额确定名单（预留备选名单）。</w:t>
      </w:r>
    </w:p>
    <w:p w14:paraId="62F8F238"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B、如</w:t>
      </w:r>
      <w:proofErr w:type="gramStart"/>
      <w:r>
        <w:rPr>
          <w:rFonts w:ascii="微软雅黑" w:eastAsia="微软雅黑" w:hAnsi="微软雅黑" w:hint="eastAsia"/>
          <w:color w:val="333333"/>
        </w:rPr>
        <w:t>总综合</w:t>
      </w:r>
      <w:proofErr w:type="gramEnd"/>
      <w:r>
        <w:rPr>
          <w:rFonts w:ascii="微软雅黑" w:eastAsia="微软雅黑" w:hAnsi="微软雅黑" w:hint="eastAsia"/>
          <w:color w:val="333333"/>
        </w:rPr>
        <w:t>素质考评名次和总智育成绩名次</w:t>
      </w:r>
      <w:r>
        <w:rPr>
          <w:rStyle w:val="a4"/>
          <w:rFonts w:ascii="微软雅黑" w:eastAsia="微软雅黑" w:hAnsi="微软雅黑" w:hint="eastAsia"/>
          <w:color w:val="333333"/>
        </w:rPr>
        <w:t>之和</w:t>
      </w:r>
      <w:r>
        <w:rPr>
          <w:rFonts w:ascii="微软雅黑" w:eastAsia="微软雅黑" w:hAnsi="微软雅黑" w:hint="eastAsia"/>
          <w:color w:val="333333"/>
        </w:rPr>
        <w:t>相同时，再按</w:t>
      </w:r>
      <w:proofErr w:type="gramStart"/>
      <w:r>
        <w:rPr>
          <w:rFonts w:ascii="微软雅黑" w:eastAsia="微软雅黑" w:hAnsi="微软雅黑" w:hint="eastAsia"/>
          <w:color w:val="333333"/>
        </w:rPr>
        <w:t>总综合</w:t>
      </w:r>
      <w:proofErr w:type="gramEnd"/>
      <w:r>
        <w:rPr>
          <w:rFonts w:ascii="微软雅黑" w:eastAsia="微软雅黑" w:hAnsi="微软雅黑" w:hint="eastAsia"/>
          <w:color w:val="333333"/>
        </w:rPr>
        <w:t>素质考评名次从低到高确定名单。</w:t>
      </w:r>
    </w:p>
    <w:p w14:paraId="037144F6"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成绩计算方法（依照学校计算方法操作）：</w:t>
      </w:r>
    </w:p>
    <w:p w14:paraId="2B6F3316"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r>
        <w:rPr>
          <w:rStyle w:val="a4"/>
          <w:rFonts w:ascii="微软雅黑" w:eastAsia="微软雅黑" w:hAnsi="微软雅黑" w:hint="eastAsia"/>
          <w:color w:val="333333"/>
        </w:rPr>
        <w:t>1.总智育成绩等于：</w:t>
      </w:r>
    </w:p>
    <w:p w14:paraId="6407A2CA"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本科：总智育成绩=（第一学年智育成绩×1.1+第二学年智育成绩×1.2+第三学年智育成绩×1.3）／3.6</w:t>
      </w:r>
    </w:p>
    <w:p w14:paraId="13FD0A62"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专升本：2022-2023学年智育成绩</w:t>
      </w:r>
    </w:p>
    <w:p w14:paraId="6D8413C3"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r>
        <w:rPr>
          <w:rStyle w:val="a4"/>
          <w:rFonts w:ascii="微软雅黑" w:eastAsia="微软雅黑" w:hAnsi="微软雅黑" w:hint="eastAsia"/>
          <w:color w:val="333333"/>
        </w:rPr>
        <w:t>2.</w:t>
      </w:r>
      <w:proofErr w:type="gramStart"/>
      <w:r>
        <w:rPr>
          <w:rStyle w:val="a4"/>
          <w:rFonts w:ascii="微软雅黑" w:eastAsia="微软雅黑" w:hAnsi="微软雅黑" w:hint="eastAsia"/>
          <w:color w:val="333333"/>
        </w:rPr>
        <w:t>总综合</w:t>
      </w:r>
      <w:proofErr w:type="gramEnd"/>
      <w:r>
        <w:rPr>
          <w:rStyle w:val="a4"/>
          <w:rFonts w:ascii="微软雅黑" w:eastAsia="微软雅黑" w:hAnsi="微软雅黑" w:hint="eastAsia"/>
          <w:color w:val="333333"/>
        </w:rPr>
        <w:t>素质考评成绩：</w:t>
      </w:r>
    </w:p>
    <w:p w14:paraId="7EF70896"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本科：</w:t>
      </w:r>
      <w:proofErr w:type="gramStart"/>
      <w:r>
        <w:rPr>
          <w:rFonts w:ascii="微软雅黑" w:eastAsia="微软雅黑" w:hAnsi="微软雅黑" w:hint="eastAsia"/>
          <w:color w:val="333333"/>
        </w:rPr>
        <w:t>总综合</w:t>
      </w:r>
      <w:proofErr w:type="gramEnd"/>
      <w:r>
        <w:rPr>
          <w:rFonts w:ascii="微软雅黑" w:eastAsia="微软雅黑" w:hAnsi="微软雅黑" w:hint="eastAsia"/>
          <w:color w:val="333333"/>
        </w:rPr>
        <w:t>素质考评成绩=前三个学年综合考评成绩的平均分</w:t>
      </w:r>
    </w:p>
    <w:p w14:paraId="6611604B"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专升本：2022-2023学年综合考评成绩</w:t>
      </w:r>
    </w:p>
    <w:p w14:paraId="43A81C8D"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r>
        <w:rPr>
          <w:rStyle w:val="a4"/>
          <w:rFonts w:ascii="微软雅黑" w:eastAsia="微软雅黑" w:hAnsi="微软雅黑" w:hint="eastAsia"/>
          <w:color w:val="333333"/>
        </w:rPr>
        <w:t>四、评选条件：</w:t>
      </w:r>
    </w:p>
    <w:p w14:paraId="235C1801"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lastRenderedPageBreak/>
        <w:t>        1.热爱祖国，具有坚定正确的政治方向，坚持党的基本路线，认真学习马克思列宁主义、毛泽东思想、邓小平理论、“三个代表”重要思想和科学发展观，认真学</w:t>
      </w:r>
      <w:proofErr w:type="gramStart"/>
      <w:r>
        <w:rPr>
          <w:rFonts w:ascii="微软雅黑" w:eastAsia="微软雅黑" w:hAnsi="微软雅黑" w:hint="eastAsia"/>
          <w:color w:val="333333"/>
        </w:rPr>
        <w:t>习习近</w:t>
      </w:r>
      <w:proofErr w:type="gramEnd"/>
      <w:r>
        <w:rPr>
          <w:rFonts w:ascii="微软雅黑" w:eastAsia="微软雅黑" w:hAnsi="微软雅黑" w:hint="eastAsia"/>
          <w:color w:val="333333"/>
        </w:rPr>
        <w:t>平新时代中国特色社会主义思想，</w:t>
      </w:r>
      <w:proofErr w:type="gramStart"/>
      <w:r>
        <w:rPr>
          <w:rFonts w:ascii="微软雅黑" w:eastAsia="微软雅黑" w:hAnsi="微软雅黑" w:hint="eastAsia"/>
          <w:color w:val="333333"/>
        </w:rPr>
        <w:t>践行</w:t>
      </w:r>
      <w:proofErr w:type="gramEnd"/>
      <w:r>
        <w:rPr>
          <w:rFonts w:ascii="微软雅黑" w:eastAsia="微软雅黑" w:hAnsi="微软雅黑" w:hint="eastAsia"/>
          <w:color w:val="333333"/>
        </w:rPr>
        <w:t>社会主义核心价值观；</w:t>
      </w:r>
    </w:p>
    <w:p w14:paraId="1F119C7B"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2.模范遵守国家法律法规、高等学校学生行为准则和学校规章制度，在校期间未受过纪律处分；</w:t>
      </w:r>
    </w:p>
    <w:p w14:paraId="01ACE46B"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3.按时修完教学计划中的全部学业，学习勤奋、成绩优异；积极参加各种文体活动、社团活动和公益活动，尊敬师长、团结同学，师生反映良好；</w:t>
      </w:r>
    </w:p>
    <w:p w14:paraId="60C38628"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4.学生原则上需达到国家大学英语四级考试成绩425分（含）以上，</w:t>
      </w:r>
      <w:r w:rsidRPr="00856D24">
        <w:rPr>
          <w:rFonts w:ascii="微软雅黑" w:eastAsia="微软雅黑" w:hAnsi="微软雅黑" w:hint="eastAsia"/>
          <w:color w:val="333333"/>
          <w:highlight w:val="yellow"/>
        </w:rPr>
        <w:t>英语专业学生原则上需通过英语专业四级</w:t>
      </w:r>
      <w:r>
        <w:rPr>
          <w:rFonts w:ascii="微软雅黑" w:eastAsia="微软雅黑" w:hAnsi="微软雅黑" w:hint="eastAsia"/>
          <w:color w:val="333333"/>
        </w:rPr>
        <w:t>，音体美专业学生须达到学校规定的学历、学位条件；非英语的其他外语获得相应的等级证书。（评选参考成绩以各学院优秀毕业生评选结果公示开始前取得的成绩为准）；</w:t>
      </w:r>
    </w:p>
    <w:p w14:paraId="47FE8998"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r>
        <w:rPr>
          <w:rStyle w:val="a4"/>
          <w:rFonts w:ascii="微软雅黑" w:eastAsia="微软雅黑" w:hAnsi="微软雅黑" w:hint="eastAsia"/>
          <w:color w:val="333333"/>
        </w:rPr>
        <w:t> 5.智育总成绩要求：“省优”排名须在班级前10%，“校优”排名须在班级前40%；</w:t>
      </w:r>
    </w:p>
    <w:p w14:paraId="0AF16DA1"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Style w:val="a4"/>
          <w:rFonts w:ascii="微软雅黑" w:eastAsia="微软雅黑" w:hAnsi="微软雅黑" w:hint="eastAsia"/>
          <w:color w:val="333333"/>
        </w:rPr>
        <w:t>        6.综合素质考评总成绩要求：“省优”排名须在班级前10%，“校优”排名须在班级前40%；</w:t>
      </w:r>
    </w:p>
    <w:p w14:paraId="6B07720F"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7.省优毕业生：获校级奖学金次数在</w:t>
      </w:r>
      <w:r>
        <w:rPr>
          <w:rStyle w:val="a4"/>
          <w:rFonts w:ascii="微软雅黑" w:eastAsia="微软雅黑" w:hAnsi="微软雅黑" w:hint="eastAsia"/>
          <w:color w:val="333333"/>
        </w:rPr>
        <w:t>三次</w:t>
      </w:r>
      <w:r>
        <w:rPr>
          <w:rFonts w:ascii="微软雅黑" w:eastAsia="微软雅黑" w:hAnsi="微软雅黑" w:hint="eastAsia"/>
          <w:color w:val="333333"/>
        </w:rPr>
        <w:t>（含）以上（单项奖除外）；专升本学生获校级奖学金次数</w:t>
      </w:r>
      <w:r>
        <w:rPr>
          <w:rStyle w:val="a4"/>
          <w:rFonts w:ascii="微软雅黑" w:eastAsia="微软雅黑" w:hAnsi="微软雅黑" w:hint="eastAsia"/>
          <w:color w:val="333333"/>
        </w:rPr>
        <w:t>一次</w:t>
      </w:r>
      <w:r>
        <w:rPr>
          <w:rFonts w:ascii="微软雅黑" w:eastAsia="微软雅黑" w:hAnsi="微软雅黑" w:hint="eastAsia"/>
          <w:color w:val="333333"/>
        </w:rPr>
        <w:t>；</w:t>
      </w:r>
    </w:p>
    <w:p w14:paraId="17AF889C"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8.</w:t>
      </w:r>
      <w:proofErr w:type="gramStart"/>
      <w:r>
        <w:rPr>
          <w:rFonts w:ascii="微软雅黑" w:eastAsia="微软雅黑" w:hAnsi="微软雅黑" w:hint="eastAsia"/>
          <w:color w:val="333333"/>
        </w:rPr>
        <w:t>校优毕业生</w:t>
      </w:r>
      <w:proofErr w:type="gramEnd"/>
      <w:r>
        <w:rPr>
          <w:rFonts w:ascii="微软雅黑" w:eastAsia="微软雅黑" w:hAnsi="微软雅黑" w:hint="eastAsia"/>
          <w:color w:val="333333"/>
        </w:rPr>
        <w:t>：获校级奖学金次数在</w:t>
      </w:r>
      <w:r>
        <w:rPr>
          <w:rStyle w:val="a4"/>
          <w:rFonts w:ascii="微软雅黑" w:eastAsia="微软雅黑" w:hAnsi="微软雅黑" w:hint="eastAsia"/>
          <w:color w:val="333333"/>
        </w:rPr>
        <w:t>两次</w:t>
      </w:r>
      <w:r>
        <w:rPr>
          <w:rFonts w:ascii="微软雅黑" w:eastAsia="微软雅黑" w:hAnsi="微软雅黑" w:hint="eastAsia"/>
          <w:color w:val="333333"/>
        </w:rPr>
        <w:t>（含）以上（单项奖除外）；专升本学生获校级奖学金次数</w:t>
      </w:r>
      <w:r>
        <w:rPr>
          <w:rStyle w:val="a4"/>
          <w:rFonts w:ascii="微软雅黑" w:eastAsia="微软雅黑" w:hAnsi="微软雅黑" w:hint="eastAsia"/>
          <w:color w:val="333333"/>
        </w:rPr>
        <w:t>一次</w:t>
      </w:r>
      <w:r>
        <w:rPr>
          <w:rFonts w:ascii="微软雅黑" w:eastAsia="微软雅黑" w:hAnsi="微软雅黑" w:hint="eastAsia"/>
          <w:color w:val="333333"/>
        </w:rPr>
        <w:t>。</w:t>
      </w:r>
    </w:p>
    <w:p w14:paraId="44189686"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9.其他要求：</w:t>
      </w:r>
    </w:p>
    <w:p w14:paraId="7E5361F3"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（1）无课程成绩不及格；</w:t>
      </w:r>
    </w:p>
    <w:p w14:paraId="5FE1AE39"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lastRenderedPageBreak/>
        <w:t>        （2）“省优”：大学期间获校级（含）以上“优秀学生干部”、“优秀共青团干部”、“优秀党/团员”或其他相当奖项两次（项）以上；专升本学生</w:t>
      </w:r>
      <w:proofErr w:type="gramStart"/>
      <w:r>
        <w:rPr>
          <w:rFonts w:ascii="微软雅黑" w:eastAsia="微软雅黑" w:hAnsi="微软雅黑" w:hint="eastAsia"/>
          <w:color w:val="333333"/>
        </w:rPr>
        <w:t>获以上</w:t>
      </w:r>
      <w:proofErr w:type="gramEnd"/>
      <w:r>
        <w:rPr>
          <w:rFonts w:ascii="微软雅黑" w:eastAsia="微软雅黑" w:hAnsi="微软雅黑" w:hint="eastAsia"/>
          <w:color w:val="333333"/>
        </w:rPr>
        <w:t>奖项一次；</w:t>
      </w:r>
    </w:p>
    <w:p w14:paraId="6FE59FCA"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（3）“校优”：大学期间获校级（含）以上“优秀学生干部”、“优秀共青团干部”、 “优秀党/团员”等荣誉称号或其他相当奖项一次（项）以上；专升本学生</w:t>
      </w:r>
      <w:proofErr w:type="gramStart"/>
      <w:r>
        <w:rPr>
          <w:rFonts w:ascii="微软雅黑" w:eastAsia="微软雅黑" w:hAnsi="微软雅黑" w:hint="eastAsia"/>
          <w:color w:val="333333"/>
        </w:rPr>
        <w:t>获以上</w:t>
      </w:r>
      <w:proofErr w:type="gramEnd"/>
      <w:r>
        <w:rPr>
          <w:rFonts w:ascii="微软雅黑" w:eastAsia="微软雅黑" w:hAnsi="微软雅黑" w:hint="eastAsia"/>
          <w:color w:val="333333"/>
        </w:rPr>
        <w:t>奖项一次。</w:t>
      </w:r>
    </w:p>
    <w:p w14:paraId="572FF57A"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r>
        <w:rPr>
          <w:rStyle w:val="a4"/>
          <w:rFonts w:ascii="微软雅黑" w:eastAsia="微软雅黑" w:hAnsi="微软雅黑" w:hint="eastAsia"/>
          <w:color w:val="333333"/>
        </w:rPr>
        <w:t>  五、评选程序和要求：</w:t>
      </w:r>
    </w:p>
    <w:p w14:paraId="65E93524"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1.1月20日前，各学院按评选办法（初选）进行评选并确定初评名单。</w:t>
      </w:r>
    </w:p>
    <w:p w14:paraId="3EA88E87"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2.2月25日前，初评名单须在学院公示3天（学生能接收公示消息并能看到公示），同时将初评名单电子版和优秀毕业生登记表电子版交至学校学生处（2月25日前）。各类证书经学院审核后，复印件留学院存档备查。</w:t>
      </w:r>
    </w:p>
    <w:p w14:paraId="6370B2D3"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3.2月25日前，各学院将初审后的申报材料纸质版送交学校学生处，经复审后，将获选名单上网公示5天，接受全校师生的监督。申报材料须严格按照要求填写，不符合填写标准的材料不予接收。</w:t>
      </w:r>
    </w:p>
    <w:p w14:paraId="75892410"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4.评选结果报学校主管领导批准后，由学生处统一将“省优”材料报送省教育厅审核、发文，并将相关学生信息进行网上报送；“校优”由学校发文。</w:t>
      </w:r>
    </w:p>
    <w:p w14:paraId="29396ABB"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5.5月底前（具体时间以省里通知为准），“省优”名单的公示和公布可在“浙江24365大学生就业服务平台”“通知公告”栏查阅。</w:t>
      </w:r>
    </w:p>
    <w:p w14:paraId="1AC05796"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6.根据省教育厅要求，优秀毕业生证书在学生完成学业，符合优秀毕业生条件的基础上发放，具体时间另行通知。</w:t>
      </w:r>
    </w:p>
    <w:p w14:paraId="5FECCC30" w14:textId="77777777"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r>
        <w:rPr>
          <w:rStyle w:val="a4"/>
          <w:rFonts w:ascii="微软雅黑" w:eastAsia="微软雅黑" w:hAnsi="微软雅黑" w:hint="eastAsia"/>
          <w:color w:val="333333"/>
        </w:rPr>
        <w:t>六、其他说明：</w:t>
      </w:r>
    </w:p>
    <w:p w14:paraId="1A623E35" w14:textId="20BC909D"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hint="eastAsia"/>
          <w:color w:val="333333"/>
        </w:rPr>
      </w:pPr>
      <w:r>
        <w:rPr>
          <w:rFonts w:ascii="微软雅黑" w:eastAsia="微软雅黑" w:hAnsi="微软雅黑" w:hint="eastAsia"/>
          <w:color w:val="333333"/>
        </w:rPr>
        <w:t>     </w:t>
      </w:r>
    </w:p>
    <w:p w14:paraId="45F938E4" w14:textId="12EE5676" w:rsidR="00856D24" w:rsidRDefault="00856D24" w:rsidP="00856D24">
      <w:pPr>
        <w:pStyle w:val="a3"/>
        <w:shd w:val="clear" w:color="auto" w:fill="FFFFFF"/>
        <w:spacing w:before="0" w:beforeAutospacing="0" w:after="0" w:afterAutospacing="0" w:line="420" w:lineRule="atLeast"/>
        <w:jc w:val="both"/>
        <w:rPr>
          <w:rFonts w:ascii="微软雅黑" w:eastAsia="微软雅黑" w:hAnsi="微软雅黑"/>
          <w:color w:val="333333"/>
        </w:rPr>
      </w:pPr>
      <w:r>
        <w:rPr>
          <w:rFonts w:ascii="微软雅黑" w:eastAsia="微软雅黑" w:hAnsi="微软雅黑" w:hint="eastAsia"/>
          <w:color w:val="333333"/>
        </w:rPr>
        <w:lastRenderedPageBreak/>
        <w:t>1</w:t>
      </w:r>
      <w:r>
        <w:rPr>
          <w:rFonts w:ascii="微软雅黑" w:eastAsia="微软雅黑" w:hAnsi="微软雅黑"/>
          <w:color w:val="333333"/>
        </w:rPr>
        <w:t>.</w:t>
      </w:r>
      <w:r>
        <w:rPr>
          <w:rFonts w:ascii="微软雅黑" w:eastAsia="微软雅黑" w:hAnsi="微软雅黑" w:hint="eastAsia"/>
          <w:color w:val="333333"/>
        </w:rPr>
        <w:t>被授予“省优”和“校优”者，如因故当年无法正常毕业，经学生工作部核实后取消其“优秀毕业生”荣誉称号。</w:t>
      </w:r>
    </w:p>
    <w:p w14:paraId="753DB6E7" w14:textId="77777777" w:rsidR="00856D24" w:rsidRDefault="00856D24" w:rsidP="00856D24">
      <w:pPr>
        <w:pStyle w:val="a7"/>
        <w:ind w:left="1125" w:right="280" w:firstLineChars="0" w:firstLine="0"/>
        <w:jc w:val="right"/>
        <w:rPr>
          <w:rFonts w:ascii="宋体" w:hAnsi="宋体"/>
          <w:sz w:val="28"/>
          <w:szCs w:val="28"/>
        </w:rPr>
      </w:pPr>
    </w:p>
    <w:p w14:paraId="740E1E25" w14:textId="77777777" w:rsidR="00856D24" w:rsidRDefault="00856D24" w:rsidP="00856D24">
      <w:pPr>
        <w:pStyle w:val="a7"/>
        <w:ind w:left="1125" w:right="280" w:firstLineChars="0" w:firstLine="0"/>
        <w:jc w:val="right"/>
        <w:rPr>
          <w:rFonts w:ascii="宋体" w:hAnsi="宋体"/>
          <w:sz w:val="28"/>
          <w:szCs w:val="28"/>
        </w:rPr>
      </w:pPr>
    </w:p>
    <w:p w14:paraId="7E6BE6D0" w14:textId="5B9EBEE4" w:rsidR="00856D24" w:rsidRPr="00856D24" w:rsidRDefault="00856D24" w:rsidP="00856D24">
      <w:pPr>
        <w:pStyle w:val="a7"/>
        <w:ind w:left="1125" w:right="280" w:firstLineChars="0" w:firstLine="0"/>
        <w:jc w:val="right"/>
        <w:rPr>
          <w:rFonts w:ascii="宋体" w:hAnsi="宋体"/>
          <w:sz w:val="28"/>
          <w:szCs w:val="28"/>
        </w:rPr>
      </w:pPr>
      <w:r w:rsidRPr="00856D24">
        <w:rPr>
          <w:rFonts w:ascii="宋体" w:hAnsi="宋体" w:hint="eastAsia"/>
          <w:sz w:val="28"/>
          <w:szCs w:val="28"/>
        </w:rPr>
        <w:t>温州理工学院外国语学院（国际教育学院）学工办</w:t>
      </w:r>
    </w:p>
    <w:p w14:paraId="02B9E84A" w14:textId="50DD6106" w:rsidR="00856D24" w:rsidRDefault="00856D24" w:rsidP="00856D24">
      <w:pPr>
        <w:pStyle w:val="a3"/>
        <w:shd w:val="clear" w:color="auto" w:fill="FFFFFF"/>
        <w:spacing w:before="0" w:beforeAutospacing="0" w:after="0" w:afterAutospacing="0" w:line="420" w:lineRule="atLeast"/>
        <w:ind w:left="1125"/>
        <w:jc w:val="right"/>
        <w:rPr>
          <w:rFonts w:ascii="微软雅黑" w:eastAsia="微软雅黑" w:hAnsi="微软雅黑" w:hint="eastAsia"/>
          <w:color w:val="333333"/>
        </w:rPr>
      </w:pPr>
      <w:r w:rsidRPr="00160986">
        <w:rPr>
          <w:rFonts w:hint="eastAsia"/>
          <w:sz w:val="28"/>
          <w:szCs w:val="28"/>
        </w:rPr>
        <w:t>二O二</w:t>
      </w:r>
      <w:r>
        <w:rPr>
          <w:rFonts w:hint="eastAsia"/>
          <w:sz w:val="28"/>
          <w:szCs w:val="28"/>
        </w:rPr>
        <w:t>四</w:t>
      </w:r>
      <w:r w:rsidRPr="00160986">
        <w:rPr>
          <w:rFonts w:hint="eastAsia"/>
          <w:sz w:val="28"/>
          <w:szCs w:val="28"/>
        </w:rPr>
        <w:t>年</w:t>
      </w:r>
      <w:r>
        <w:rPr>
          <w:rFonts w:hint="eastAsia"/>
          <w:sz w:val="28"/>
          <w:szCs w:val="28"/>
        </w:rPr>
        <w:t>一</w:t>
      </w:r>
      <w:r w:rsidRPr="00160986">
        <w:rPr>
          <w:rFonts w:hint="eastAsia"/>
          <w:sz w:val="28"/>
          <w:szCs w:val="28"/>
        </w:rPr>
        <w:t>月</w:t>
      </w:r>
    </w:p>
    <w:p w14:paraId="4705C92B" w14:textId="77777777" w:rsidR="008D14CC" w:rsidRPr="00856D24" w:rsidRDefault="008D14CC"/>
    <w:sectPr w:rsidR="008D14CC" w:rsidRPr="00856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17B1E"/>
    <w:multiLevelType w:val="hybridMultilevel"/>
    <w:tmpl w:val="AF968270"/>
    <w:lvl w:ilvl="0" w:tplc="E20EB600">
      <w:start w:val="1"/>
      <w:numFmt w:val="decimal"/>
      <w:lvlText w:val="%1."/>
      <w:lvlJc w:val="left"/>
      <w:pPr>
        <w:ind w:left="1125" w:hanging="360"/>
      </w:pPr>
      <w:rPr>
        <w:rFonts w:hint="default"/>
      </w:rPr>
    </w:lvl>
    <w:lvl w:ilvl="1" w:tplc="04090019" w:tentative="1">
      <w:start w:val="1"/>
      <w:numFmt w:val="lowerLetter"/>
      <w:lvlText w:val="%2)"/>
      <w:lvlJc w:val="left"/>
      <w:pPr>
        <w:ind w:left="1645" w:hanging="440"/>
      </w:pPr>
    </w:lvl>
    <w:lvl w:ilvl="2" w:tplc="0409001B" w:tentative="1">
      <w:start w:val="1"/>
      <w:numFmt w:val="lowerRoman"/>
      <w:lvlText w:val="%3."/>
      <w:lvlJc w:val="right"/>
      <w:pPr>
        <w:ind w:left="2085" w:hanging="440"/>
      </w:pPr>
    </w:lvl>
    <w:lvl w:ilvl="3" w:tplc="0409000F" w:tentative="1">
      <w:start w:val="1"/>
      <w:numFmt w:val="decimal"/>
      <w:lvlText w:val="%4."/>
      <w:lvlJc w:val="left"/>
      <w:pPr>
        <w:ind w:left="2525" w:hanging="440"/>
      </w:pPr>
    </w:lvl>
    <w:lvl w:ilvl="4" w:tplc="04090019" w:tentative="1">
      <w:start w:val="1"/>
      <w:numFmt w:val="lowerLetter"/>
      <w:lvlText w:val="%5)"/>
      <w:lvlJc w:val="left"/>
      <w:pPr>
        <w:ind w:left="2965" w:hanging="440"/>
      </w:pPr>
    </w:lvl>
    <w:lvl w:ilvl="5" w:tplc="0409001B" w:tentative="1">
      <w:start w:val="1"/>
      <w:numFmt w:val="lowerRoman"/>
      <w:lvlText w:val="%6."/>
      <w:lvlJc w:val="right"/>
      <w:pPr>
        <w:ind w:left="3405" w:hanging="440"/>
      </w:pPr>
    </w:lvl>
    <w:lvl w:ilvl="6" w:tplc="0409000F" w:tentative="1">
      <w:start w:val="1"/>
      <w:numFmt w:val="decimal"/>
      <w:lvlText w:val="%7."/>
      <w:lvlJc w:val="left"/>
      <w:pPr>
        <w:ind w:left="3845" w:hanging="440"/>
      </w:pPr>
    </w:lvl>
    <w:lvl w:ilvl="7" w:tplc="04090019" w:tentative="1">
      <w:start w:val="1"/>
      <w:numFmt w:val="lowerLetter"/>
      <w:lvlText w:val="%8)"/>
      <w:lvlJc w:val="left"/>
      <w:pPr>
        <w:ind w:left="4285" w:hanging="440"/>
      </w:pPr>
    </w:lvl>
    <w:lvl w:ilvl="8" w:tplc="0409001B" w:tentative="1">
      <w:start w:val="1"/>
      <w:numFmt w:val="lowerRoman"/>
      <w:lvlText w:val="%9."/>
      <w:lvlJc w:val="right"/>
      <w:pPr>
        <w:ind w:left="4725" w:hanging="440"/>
      </w:pPr>
    </w:lvl>
  </w:abstractNum>
  <w:num w:numId="1" w16cid:durableId="101287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24"/>
    <w:rsid w:val="00856D24"/>
    <w:rsid w:val="008D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6F6E"/>
  <w15:chartTrackingRefBased/>
  <w15:docId w15:val="{E4FFD45E-EFD4-4C7E-A0DE-F0EE07A9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D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6D24"/>
    <w:rPr>
      <w:b/>
      <w:bCs/>
    </w:rPr>
  </w:style>
  <w:style w:type="character" w:customStyle="1" w:styleId="Char">
    <w:name w:val="页脚 Char"/>
    <w:link w:val="a5"/>
    <w:rsid w:val="00856D24"/>
    <w:rPr>
      <w:sz w:val="18"/>
      <w:szCs w:val="18"/>
    </w:rPr>
  </w:style>
  <w:style w:type="paragraph" w:styleId="a5">
    <w:name w:val="footer"/>
    <w:basedOn w:val="a"/>
    <w:link w:val="Char"/>
    <w:rsid w:val="00856D24"/>
    <w:pPr>
      <w:tabs>
        <w:tab w:val="center" w:pos="4153"/>
        <w:tab w:val="right" w:pos="8306"/>
      </w:tabs>
      <w:snapToGrid w:val="0"/>
      <w:jc w:val="left"/>
    </w:pPr>
    <w:rPr>
      <w:sz w:val="18"/>
      <w:szCs w:val="18"/>
    </w:rPr>
  </w:style>
  <w:style w:type="character" w:customStyle="1" w:styleId="a6">
    <w:name w:val="页脚 字符"/>
    <w:basedOn w:val="a0"/>
    <w:uiPriority w:val="99"/>
    <w:semiHidden/>
    <w:rsid w:val="00856D24"/>
    <w:rPr>
      <w:sz w:val="18"/>
      <w:szCs w:val="18"/>
    </w:rPr>
  </w:style>
  <w:style w:type="paragraph" w:styleId="a7">
    <w:name w:val="List Paragraph"/>
    <w:basedOn w:val="a"/>
    <w:uiPriority w:val="34"/>
    <w:qFormat/>
    <w:rsid w:val="00856D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4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2024-01-08T05:54:00Z</dcterms:created>
  <dcterms:modified xsi:type="dcterms:W3CDTF">2024-01-08T05:57:00Z</dcterms:modified>
</cp:coreProperties>
</file>